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C02EA">
      <w:pPr>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Supplementary materials</w:t>
      </w:r>
    </w:p>
    <w:p w14:paraId="08D92761">
      <w:pPr>
        <w:pStyle w:val="4"/>
        <w:keepNext/>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60" w:after="60" w:line="480" w:lineRule="auto"/>
        <w:ind w:right="60"/>
        <w:jc w:val="both"/>
        <w:textAlignment w:val="auto"/>
        <w:rPr>
          <w:rFonts w:ascii="Times New Roman" w:hAnsi="Times New Roman" w:cs="Times New Roman"/>
          <w:i w:val="0"/>
          <w:iCs/>
          <w:sz w:val="24"/>
        </w:rPr>
      </w:pPr>
      <w:r>
        <w:rPr>
          <w:rFonts w:ascii="Times New Roman" w:hAnsi="Times New Roman" w:cs="Times New Roman"/>
          <w:i w:val="0"/>
          <w:iCs/>
          <w:sz w:val="24"/>
        </w:rPr>
        <w:t xml:space="preserve">Supplementary Table S1. Components of composite adverse neonatal outcomes according to </w:t>
      </w:r>
      <w:r>
        <w:rPr>
          <w:rFonts w:hint="eastAsia" w:ascii="Times New Roman" w:hAnsi="Times New Roman" w:cs="Times New Roman"/>
          <w:i w:val="0"/>
          <w:iCs/>
          <w:sz w:val="24"/>
        </w:rPr>
        <w:t>SDOH profile.</w:t>
      </w:r>
      <w:bookmarkStart w:id="1" w:name="_GoBack"/>
      <w:bookmarkEnd w:id="1"/>
    </w:p>
    <w:p w14:paraId="6D818E5B">
      <w:pPr>
        <w:pStyle w:val="4"/>
        <w:keepNext/>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60" w:after="60" w:line="480" w:lineRule="auto"/>
        <w:ind w:right="60"/>
        <w:jc w:val="both"/>
        <w:textAlignment w:val="auto"/>
        <w:rPr>
          <w:rFonts w:ascii="Times New Roman" w:hAnsi="Times New Roman" w:cs="Times New Roman"/>
          <w:i w:val="0"/>
          <w:iCs/>
          <w:sz w:val="24"/>
        </w:rPr>
      </w:pPr>
      <w:r>
        <w:rPr>
          <w:rFonts w:ascii="Times New Roman" w:hAnsi="Times New Roman" w:cs="Times New Roman"/>
          <w:i w:val="0"/>
          <w:iCs/>
          <w:sz w:val="24"/>
        </w:rPr>
        <w:t>Supplementary Table S2. Components of composite adverse neonatal outcomes according to GWG trajectory</w:t>
      </w:r>
    </w:p>
    <w:p w14:paraId="778A6F8D">
      <w:pPr>
        <w:pStyle w:val="4"/>
        <w:keepNext/>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60" w:after="60" w:line="480" w:lineRule="auto"/>
        <w:ind w:right="60"/>
        <w:jc w:val="both"/>
        <w:textAlignment w:val="auto"/>
        <w:rPr>
          <w:rFonts w:ascii="Times New Roman" w:hAnsi="Times New Roman" w:cs="Times New Roman"/>
          <w:i w:val="0"/>
          <w:iCs/>
          <w:sz w:val="24"/>
        </w:rPr>
      </w:pPr>
      <w:r>
        <w:rPr>
          <w:rFonts w:ascii="Times New Roman" w:hAnsi="Times New Roman" w:cs="Times New Roman"/>
          <w:i w:val="0"/>
          <w:iCs/>
          <w:sz w:val="24"/>
        </w:rPr>
        <w:t>Supplementary Table S3. BMI-stratified mediation analyses of GWG trajectories</w:t>
      </w:r>
    </w:p>
    <w:p w14:paraId="55526CC1">
      <w:pPr>
        <w:pStyle w:val="4"/>
        <w:keepNext/>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60" w:after="60" w:line="480" w:lineRule="auto"/>
        <w:ind w:right="60"/>
        <w:jc w:val="both"/>
        <w:textAlignment w:val="auto"/>
        <w:rPr>
          <w:rFonts w:ascii="Times New Roman" w:hAnsi="Times New Roman" w:cs="Times New Roman"/>
          <w:i w:val="0"/>
          <w:iCs/>
          <w:sz w:val="24"/>
        </w:rPr>
      </w:pPr>
      <w:r>
        <w:rPr>
          <w:rFonts w:ascii="Times New Roman" w:hAnsi="Times New Roman" w:cs="Times New Roman"/>
          <w:i w:val="0"/>
          <w:iCs/>
          <w:sz w:val="24"/>
        </w:rPr>
        <w:t>Supplementary Table</w:t>
      </w:r>
      <w:r>
        <w:rPr>
          <w:rFonts w:hint="eastAsia" w:ascii="Times New Roman" w:hAnsi="Times New Roman" w:cs="Times New Roman"/>
          <w:i w:val="0"/>
          <w:iCs/>
          <w:sz w:val="24"/>
        </w:rPr>
        <w:t xml:space="preserve"> S4</w:t>
      </w:r>
      <w:r>
        <w:rPr>
          <w:rFonts w:ascii="Times New Roman" w:hAnsi="Times New Roman" w:cs="Times New Roman"/>
          <w:i w:val="0"/>
          <w:iCs/>
          <w:sz w:val="24"/>
        </w:rPr>
        <w:t>. Sensitivity analyses after excluding women with pre-existing endocrine disorders</w:t>
      </w:r>
    </w:p>
    <w:p w14:paraId="28AAA4CA">
      <w:pPr>
        <w:pStyle w:val="4"/>
        <w:keepNext/>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60" w:after="60" w:line="480" w:lineRule="auto"/>
        <w:ind w:right="60"/>
        <w:jc w:val="both"/>
        <w:textAlignment w:val="auto"/>
        <w:rPr>
          <w:rFonts w:ascii="Times New Roman" w:hAnsi="Times New Roman" w:cs="Times New Roman"/>
          <w:i w:val="0"/>
          <w:iCs/>
          <w:sz w:val="24"/>
        </w:rPr>
      </w:pPr>
      <w:r>
        <w:rPr>
          <w:rFonts w:ascii="Times New Roman" w:hAnsi="Times New Roman" w:cs="Times New Roman"/>
          <w:i w:val="0"/>
          <w:iCs/>
          <w:sz w:val="24"/>
        </w:rPr>
        <w:t>Supplementary Table S</w:t>
      </w:r>
      <w:r>
        <w:rPr>
          <w:rFonts w:hint="eastAsia" w:ascii="Times New Roman" w:hAnsi="Times New Roman" w:cs="Times New Roman"/>
          <w:i w:val="0"/>
          <w:iCs/>
          <w:sz w:val="24"/>
          <w:lang w:val="en-US" w:eastAsia="zh-CN"/>
        </w:rPr>
        <w:t>5</w:t>
      </w:r>
      <w:r>
        <w:rPr>
          <w:rFonts w:ascii="Times New Roman" w:hAnsi="Times New Roman" w:cs="Times New Roman"/>
          <w:i w:val="0"/>
          <w:iCs/>
          <w:sz w:val="24"/>
        </w:rPr>
        <w:t xml:space="preserve">. Mediation analysis of GWG trajectories in the association between </w:t>
      </w:r>
      <w:r>
        <w:rPr>
          <w:rFonts w:hint="eastAsia" w:ascii="Times New Roman" w:hAnsi="Times New Roman" w:cs="Times New Roman"/>
          <w:i w:val="0"/>
          <w:iCs/>
          <w:sz w:val="24"/>
        </w:rPr>
        <w:t>SDOH profile</w:t>
      </w:r>
      <w:r>
        <w:rPr>
          <w:rFonts w:ascii="Times New Roman" w:hAnsi="Times New Roman" w:cs="Times New Roman"/>
          <w:i w:val="0"/>
          <w:iCs/>
          <w:sz w:val="24"/>
        </w:rPr>
        <w:t xml:space="preserve"> and adverse neonatal outcomes</w:t>
      </w:r>
    </w:p>
    <w:p w14:paraId="2CC96B3D">
      <w:pPr>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Supplementary File S1. STROBE checklist for cohort studies.</w:t>
      </w:r>
    </w:p>
    <w:p w14:paraId="51383FE6">
      <w:pPr>
        <w:widowControl/>
        <w:spacing w:line="480" w:lineRule="auto"/>
        <w:jc w:val="left"/>
        <w:rPr>
          <w:rFonts w:hint="default" w:ascii="Times New Roman" w:hAnsi="Times New Roman" w:eastAsia="宋体" w:cs="Times New Roman"/>
          <w:b/>
          <w:bCs/>
          <w:sz w:val="24"/>
          <w:szCs w:val="24"/>
        </w:rPr>
      </w:pPr>
    </w:p>
    <w:p w14:paraId="3B8D0689">
      <w:pP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br w:type="page"/>
      </w:r>
    </w:p>
    <w:p w14:paraId="6EE778DC">
      <w:pPr>
        <w:pStyle w:val="4"/>
        <w:keepNext/>
        <w:pBdr>
          <w:top w:val="none" w:color="000000" w:sz="0" w:space="0"/>
          <w:left w:val="none" w:color="000000" w:sz="0" w:space="0"/>
          <w:bottom w:val="none" w:color="000000" w:sz="0" w:space="0"/>
          <w:right w:val="none" w:color="000000" w:sz="0" w:space="0"/>
        </w:pBdr>
        <w:spacing w:before="60" w:after="60"/>
        <w:ind w:right="60"/>
        <w:jc w:val="both"/>
        <w:rPr>
          <w:rFonts w:ascii="Times New Roman" w:hAnsi="Times New Roman" w:cs="Times New Roman"/>
          <w:i w:val="0"/>
          <w:iCs/>
          <w:sz w:val="24"/>
        </w:rPr>
      </w:pPr>
      <w:r>
        <w:rPr>
          <w:rFonts w:ascii="Times New Roman" w:hAnsi="Times New Roman" w:cs="Times New Roman"/>
          <w:i w:val="0"/>
          <w:iCs/>
          <w:sz w:val="24"/>
        </w:rPr>
        <w:t xml:space="preserve">Supplementary Table S1. Components of composite adverse neonatal outcomes according to </w:t>
      </w:r>
      <w:r>
        <w:rPr>
          <w:rFonts w:hint="eastAsia" w:ascii="Times New Roman" w:hAnsi="Times New Roman" w:cs="Times New Roman"/>
          <w:i w:val="0"/>
          <w:iCs/>
          <w:sz w:val="24"/>
        </w:rPr>
        <w:t>SDOH profile.</w:t>
      </w:r>
    </w:p>
    <w:tbl>
      <w:tblPr>
        <w:tblStyle w:val="2"/>
        <w:tblW w:w="13262" w:type="dxa"/>
        <w:jc w:val="center"/>
        <w:tblLayout w:type="fixed"/>
        <w:tblCellMar>
          <w:top w:w="0" w:type="dxa"/>
          <w:left w:w="108" w:type="dxa"/>
          <w:bottom w:w="0" w:type="dxa"/>
          <w:right w:w="108" w:type="dxa"/>
        </w:tblCellMar>
      </w:tblPr>
      <w:tblGrid>
        <w:gridCol w:w="3498"/>
        <w:gridCol w:w="1620"/>
        <w:gridCol w:w="2628"/>
        <w:gridCol w:w="2232"/>
        <w:gridCol w:w="2324"/>
        <w:gridCol w:w="960"/>
      </w:tblGrid>
      <w:tr w14:paraId="4F901EB7">
        <w:tblPrEx>
          <w:tblCellMar>
            <w:top w:w="0" w:type="dxa"/>
            <w:left w:w="108" w:type="dxa"/>
            <w:bottom w:w="0" w:type="dxa"/>
            <w:right w:w="108" w:type="dxa"/>
          </w:tblCellMar>
        </w:tblPrEx>
        <w:trPr>
          <w:trHeight w:val="357" w:hRule="atLeast"/>
          <w:tblHeader/>
          <w:jc w:val="center"/>
        </w:trPr>
        <w:tc>
          <w:tcPr>
            <w:tcW w:w="3498" w:type="dxa"/>
            <w:vMerge w:val="restart"/>
            <w:tcBorders>
              <w:top w:val="single" w:color="666666" w:sz="12" w:space="0"/>
              <w:left w:val="nil"/>
              <w:right w:val="nil"/>
            </w:tcBorders>
            <w:shd w:val="clear" w:color="auto" w:fill="FFFFFF"/>
            <w:tcMar>
              <w:top w:w="0" w:type="dxa"/>
              <w:left w:w="0" w:type="dxa"/>
              <w:bottom w:w="0" w:type="dxa"/>
              <w:right w:w="0" w:type="dxa"/>
            </w:tcMar>
            <w:vAlign w:val="center"/>
          </w:tcPr>
          <w:p w14:paraId="4114714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Outcome</w:t>
            </w:r>
          </w:p>
        </w:tc>
        <w:tc>
          <w:tcPr>
            <w:tcW w:w="1620" w:type="dxa"/>
            <w:vMerge w:val="restart"/>
            <w:tcBorders>
              <w:top w:val="single" w:color="666666" w:sz="12" w:space="0"/>
              <w:left w:val="nil"/>
              <w:right w:val="nil"/>
            </w:tcBorders>
            <w:shd w:val="clear" w:color="auto" w:fill="FFFFFF"/>
            <w:tcMar>
              <w:top w:w="0" w:type="dxa"/>
              <w:left w:w="0" w:type="dxa"/>
              <w:bottom w:w="0" w:type="dxa"/>
              <w:right w:w="0" w:type="dxa"/>
            </w:tcMar>
            <w:vAlign w:val="center"/>
          </w:tcPr>
          <w:p w14:paraId="4849A2A7">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Overall</w:t>
            </w:r>
          </w:p>
          <w:p w14:paraId="374072DF">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宋体" w:cs="Times New Roman"/>
                <w:b/>
                <w:color w:val="000000"/>
                <w:sz w:val="22"/>
                <w:szCs w:val="22"/>
              </w:rPr>
            </w:pPr>
            <w:r>
              <w:rPr>
                <w:rFonts w:hint="eastAsia" w:ascii="Times New Roman" w:hAnsi="Times New Roman" w:eastAsia="宋体" w:cs="Times New Roman"/>
                <w:b/>
                <w:color w:val="000000"/>
                <w:sz w:val="22"/>
                <w:szCs w:val="22"/>
              </w:rPr>
              <w:t>(N=1916)</w:t>
            </w:r>
          </w:p>
        </w:tc>
        <w:tc>
          <w:tcPr>
            <w:tcW w:w="7184" w:type="dxa"/>
            <w:gridSpan w:val="3"/>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48C8CFF">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hint="eastAsia" w:ascii="Times New Roman" w:hAnsi="Times New Roman" w:cs="Times New Roman"/>
                <w:b/>
                <w:bCs/>
                <w:color w:val="000000"/>
                <w:sz w:val="22"/>
                <w:szCs w:val="22"/>
              </w:rPr>
              <w:t>SDOH Profiles</w:t>
            </w:r>
          </w:p>
        </w:tc>
        <w:tc>
          <w:tcPr>
            <w:tcW w:w="960" w:type="dxa"/>
            <w:vMerge w:val="restart"/>
            <w:tcBorders>
              <w:top w:val="single" w:color="666666" w:sz="12" w:space="0"/>
              <w:left w:val="nil"/>
              <w:right w:val="nil"/>
            </w:tcBorders>
            <w:shd w:val="clear" w:color="auto" w:fill="FFFFFF"/>
            <w:tcMar>
              <w:top w:w="0" w:type="dxa"/>
              <w:left w:w="0" w:type="dxa"/>
              <w:bottom w:w="0" w:type="dxa"/>
              <w:right w:w="0" w:type="dxa"/>
            </w:tcMar>
            <w:vAlign w:val="center"/>
          </w:tcPr>
          <w:p w14:paraId="4F0A0C8B">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P value</w:t>
            </w:r>
          </w:p>
        </w:tc>
      </w:tr>
      <w:tr w14:paraId="3F2C82EF">
        <w:tblPrEx>
          <w:tblCellMar>
            <w:top w:w="0" w:type="dxa"/>
            <w:left w:w="108" w:type="dxa"/>
            <w:bottom w:w="0" w:type="dxa"/>
            <w:right w:w="108" w:type="dxa"/>
          </w:tblCellMar>
        </w:tblPrEx>
        <w:trPr>
          <w:trHeight w:val="357" w:hRule="atLeast"/>
          <w:tblHeader/>
          <w:jc w:val="center"/>
        </w:trPr>
        <w:tc>
          <w:tcPr>
            <w:tcW w:w="3498" w:type="dxa"/>
            <w:vMerge w:val="continue"/>
            <w:tcBorders>
              <w:left w:val="nil"/>
              <w:bottom w:val="single" w:color="666666" w:sz="12" w:space="0"/>
              <w:right w:val="nil"/>
            </w:tcBorders>
            <w:shd w:val="clear" w:color="auto" w:fill="FFFFFF"/>
            <w:tcMar>
              <w:top w:w="0" w:type="dxa"/>
              <w:left w:w="0" w:type="dxa"/>
              <w:bottom w:w="0" w:type="dxa"/>
              <w:right w:w="0" w:type="dxa"/>
            </w:tcMar>
            <w:vAlign w:val="center"/>
          </w:tcPr>
          <w:p w14:paraId="6A1C71B3">
            <w:pPr>
              <w:pBdr>
                <w:top w:val="none" w:color="000000" w:sz="0" w:space="0"/>
                <w:left w:val="none" w:color="000000" w:sz="0" w:space="0"/>
                <w:bottom w:val="none" w:color="000000" w:sz="0" w:space="0"/>
                <w:right w:val="none" w:color="000000" w:sz="0" w:space="0"/>
              </w:pBdr>
              <w:spacing w:before="40" w:after="40"/>
              <w:ind w:left="102" w:right="102"/>
              <w:jc w:val="left"/>
            </w:pPr>
          </w:p>
        </w:tc>
        <w:tc>
          <w:tcPr>
            <w:tcW w:w="1620" w:type="dxa"/>
            <w:vMerge w:val="continue"/>
            <w:tcBorders>
              <w:left w:val="nil"/>
              <w:bottom w:val="single" w:color="666666" w:sz="12" w:space="0"/>
              <w:right w:val="nil"/>
            </w:tcBorders>
            <w:shd w:val="clear" w:color="auto" w:fill="FFFFFF"/>
            <w:tcMar>
              <w:top w:w="0" w:type="dxa"/>
              <w:left w:w="0" w:type="dxa"/>
              <w:bottom w:w="0" w:type="dxa"/>
              <w:right w:w="0" w:type="dxa"/>
            </w:tcMar>
            <w:vAlign w:val="center"/>
          </w:tcPr>
          <w:p w14:paraId="31FEF85A">
            <w:pPr>
              <w:pBdr>
                <w:top w:val="none" w:color="000000" w:sz="0" w:space="0"/>
                <w:left w:val="none" w:color="000000" w:sz="0" w:space="0"/>
                <w:bottom w:val="none" w:color="000000" w:sz="0" w:space="0"/>
                <w:right w:val="none" w:color="000000" w:sz="0" w:space="0"/>
              </w:pBdr>
              <w:spacing w:before="40" w:after="40"/>
              <w:ind w:left="102" w:right="102"/>
              <w:jc w:val="center"/>
            </w:pPr>
          </w:p>
        </w:tc>
        <w:tc>
          <w:tcPr>
            <w:tcW w:w="2628"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65C243E">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hint="eastAsia" w:ascii="Times New Roman" w:hAnsi="Times New Roman" w:eastAsia="宋体" w:cs="Times New Roman"/>
                <w:b/>
                <w:color w:val="000000"/>
                <w:sz w:val="22"/>
                <w:szCs w:val="22"/>
              </w:rPr>
              <w:t>Advantaged profile</w:t>
            </w:r>
          </w:p>
          <w:p w14:paraId="23696142">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w:t>
            </w:r>
            <w:r>
              <w:rPr>
                <w:rFonts w:hint="eastAsia" w:ascii="Times New Roman" w:hAnsi="Times New Roman" w:eastAsia="宋体" w:cs="Times New Roman"/>
                <w:b/>
                <w:color w:val="000000"/>
                <w:sz w:val="22"/>
                <w:szCs w:val="22"/>
              </w:rPr>
              <w:t xml:space="preserve">n </w:t>
            </w:r>
            <w:r>
              <w:rPr>
                <w:rFonts w:ascii="Times New Roman" w:hAnsi="Times New Roman" w:eastAsia="Arial" w:cs="Times New Roman"/>
                <w:b/>
                <w:color w:val="000000"/>
                <w:sz w:val="22"/>
                <w:szCs w:val="22"/>
              </w:rPr>
              <w:t>=</w:t>
            </w:r>
            <w:r>
              <w:rPr>
                <w:rFonts w:hint="eastAsia" w:ascii="Times New Roman" w:hAnsi="Times New Roman" w:eastAsia="宋体" w:cs="Times New Roman"/>
                <w:b/>
                <w:color w:val="000000"/>
                <w:sz w:val="22"/>
                <w:szCs w:val="22"/>
              </w:rPr>
              <w:t xml:space="preserve"> 639</w:t>
            </w:r>
            <w:r>
              <w:rPr>
                <w:rFonts w:ascii="Times New Roman" w:hAnsi="Times New Roman" w:eastAsia="Arial" w:cs="Times New Roman"/>
                <w:b/>
                <w:color w:val="000000"/>
                <w:sz w:val="22"/>
                <w:szCs w:val="22"/>
              </w:rPr>
              <w:t>)</w:t>
            </w:r>
          </w:p>
        </w:tc>
        <w:tc>
          <w:tcPr>
            <w:tcW w:w="2232"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C0AC8D7">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hint="eastAsia" w:ascii="Times New Roman" w:hAnsi="Times New Roman" w:eastAsia="宋体" w:cs="Times New Roman"/>
                <w:b/>
                <w:color w:val="000000"/>
                <w:sz w:val="22"/>
                <w:szCs w:val="22"/>
              </w:rPr>
              <w:t>Intermediate profile</w:t>
            </w:r>
            <w:r>
              <w:rPr>
                <w:rFonts w:ascii="Times New Roman" w:hAnsi="Times New Roman" w:eastAsia="Arial" w:cs="Times New Roman"/>
                <w:b/>
                <w:color w:val="000000"/>
                <w:sz w:val="22"/>
                <w:szCs w:val="22"/>
              </w:rPr>
              <w:t xml:space="preserve"> (</w:t>
            </w:r>
            <w:r>
              <w:rPr>
                <w:rFonts w:hint="eastAsia" w:ascii="Times New Roman" w:hAnsi="Times New Roman" w:eastAsia="宋体" w:cs="Times New Roman"/>
                <w:b/>
                <w:color w:val="000000"/>
                <w:sz w:val="22"/>
                <w:szCs w:val="22"/>
              </w:rPr>
              <w:t xml:space="preserve">n </w:t>
            </w:r>
            <w:r>
              <w:rPr>
                <w:rFonts w:ascii="Times New Roman" w:hAnsi="Times New Roman" w:eastAsia="Arial" w:cs="Times New Roman"/>
                <w:b/>
                <w:color w:val="000000"/>
                <w:sz w:val="22"/>
                <w:szCs w:val="22"/>
              </w:rPr>
              <w:t>=</w:t>
            </w:r>
            <w:r>
              <w:rPr>
                <w:rFonts w:hint="eastAsia" w:ascii="Times New Roman" w:hAnsi="Times New Roman" w:eastAsia="宋体" w:cs="Times New Roman"/>
                <w:b/>
                <w:color w:val="000000"/>
                <w:sz w:val="22"/>
                <w:szCs w:val="22"/>
              </w:rPr>
              <w:t xml:space="preserve"> 638</w:t>
            </w:r>
            <w:r>
              <w:rPr>
                <w:rFonts w:ascii="Times New Roman" w:hAnsi="Times New Roman" w:eastAsia="Arial" w:cs="Times New Roman"/>
                <w:b/>
                <w:color w:val="000000"/>
                <w:sz w:val="22"/>
                <w:szCs w:val="22"/>
              </w:rPr>
              <w:t>)</w:t>
            </w:r>
          </w:p>
        </w:tc>
        <w:tc>
          <w:tcPr>
            <w:tcW w:w="2324"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F00140A">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宋体" w:cs="Times New Roman"/>
                <w:b/>
                <w:color w:val="000000"/>
                <w:sz w:val="22"/>
                <w:szCs w:val="22"/>
              </w:rPr>
            </w:pPr>
            <w:r>
              <w:rPr>
                <w:rFonts w:hint="eastAsia" w:ascii="Times New Roman" w:hAnsi="Times New Roman" w:eastAsia="宋体" w:cs="Times New Roman"/>
                <w:b/>
                <w:color w:val="000000"/>
                <w:sz w:val="22"/>
                <w:szCs w:val="22"/>
              </w:rPr>
              <w:t>Disadvantaged profile</w:t>
            </w:r>
          </w:p>
          <w:p w14:paraId="4CB0C767">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w:t>
            </w:r>
            <w:r>
              <w:rPr>
                <w:rFonts w:hint="eastAsia" w:ascii="Times New Roman" w:hAnsi="Times New Roman" w:eastAsia="宋体" w:cs="Times New Roman"/>
                <w:b/>
                <w:color w:val="000000"/>
                <w:sz w:val="22"/>
                <w:szCs w:val="22"/>
              </w:rPr>
              <w:t xml:space="preserve">n </w:t>
            </w:r>
            <w:r>
              <w:rPr>
                <w:rFonts w:ascii="Times New Roman" w:hAnsi="Times New Roman" w:eastAsia="Arial" w:cs="Times New Roman"/>
                <w:b/>
                <w:color w:val="000000"/>
                <w:sz w:val="22"/>
                <w:szCs w:val="22"/>
              </w:rPr>
              <w:t>=</w:t>
            </w:r>
            <w:r>
              <w:rPr>
                <w:rFonts w:hint="eastAsia" w:ascii="Times New Roman" w:hAnsi="Times New Roman" w:eastAsia="宋体" w:cs="Times New Roman"/>
                <w:b/>
                <w:color w:val="000000"/>
                <w:sz w:val="22"/>
                <w:szCs w:val="22"/>
              </w:rPr>
              <w:t xml:space="preserve"> 639</w:t>
            </w:r>
            <w:r>
              <w:rPr>
                <w:rFonts w:ascii="Times New Roman" w:hAnsi="Times New Roman" w:eastAsia="Arial" w:cs="Times New Roman"/>
                <w:b/>
                <w:color w:val="000000"/>
                <w:sz w:val="22"/>
                <w:szCs w:val="22"/>
              </w:rPr>
              <w:t>)</w:t>
            </w:r>
          </w:p>
        </w:tc>
        <w:tc>
          <w:tcPr>
            <w:tcW w:w="960" w:type="dxa"/>
            <w:vMerge w:val="continue"/>
            <w:tcBorders>
              <w:left w:val="nil"/>
              <w:bottom w:val="single" w:color="666666" w:sz="12" w:space="0"/>
              <w:right w:val="nil"/>
            </w:tcBorders>
            <w:shd w:val="clear" w:color="auto" w:fill="FFFFFF"/>
            <w:tcMar>
              <w:top w:w="0" w:type="dxa"/>
              <w:left w:w="0" w:type="dxa"/>
              <w:bottom w:w="0" w:type="dxa"/>
              <w:right w:w="0" w:type="dxa"/>
            </w:tcMar>
            <w:vAlign w:val="center"/>
          </w:tcPr>
          <w:p w14:paraId="7B5D60AA">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p>
        </w:tc>
      </w:tr>
      <w:tr w14:paraId="73DFB56F">
        <w:tblPrEx>
          <w:tblCellMar>
            <w:top w:w="0" w:type="dxa"/>
            <w:left w:w="108" w:type="dxa"/>
            <w:bottom w:w="0" w:type="dxa"/>
            <w:right w:w="108" w:type="dxa"/>
          </w:tblCellMar>
        </w:tblPrEx>
        <w:trPr>
          <w:trHeight w:val="272" w:hRule="atLeast"/>
          <w:jc w:val="center"/>
        </w:trPr>
        <w:tc>
          <w:tcPr>
            <w:tcW w:w="3498"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66F733BC">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Composite adverse neonatal outcome</w:t>
            </w:r>
          </w:p>
        </w:tc>
        <w:tc>
          <w:tcPr>
            <w:tcW w:w="1620"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3488AAA9">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482 (25.16%)</w:t>
            </w:r>
          </w:p>
        </w:tc>
        <w:tc>
          <w:tcPr>
            <w:tcW w:w="2628"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7A07D66E">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128 (20.03%)</w:t>
            </w:r>
          </w:p>
        </w:tc>
        <w:tc>
          <w:tcPr>
            <w:tcW w:w="2232"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19BA2D47">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153 (23.98%)</w:t>
            </w:r>
          </w:p>
        </w:tc>
        <w:tc>
          <w:tcPr>
            <w:tcW w:w="2324"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1667C540">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201 (31.46%)</w:t>
            </w:r>
          </w:p>
        </w:tc>
        <w:tc>
          <w:tcPr>
            <w:tcW w:w="960"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2606F487">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&lt;0.001</w:t>
            </w:r>
          </w:p>
        </w:tc>
      </w:tr>
      <w:tr w14:paraId="0B870390">
        <w:tblPrEx>
          <w:tblCellMar>
            <w:top w:w="0" w:type="dxa"/>
            <w:left w:w="108" w:type="dxa"/>
            <w:bottom w:w="0" w:type="dxa"/>
            <w:right w:w="108" w:type="dxa"/>
          </w:tblCellMar>
        </w:tblPrEx>
        <w:trPr>
          <w:trHeight w:val="246" w:hRule="atLeast"/>
          <w:jc w:val="center"/>
        </w:trPr>
        <w:tc>
          <w:tcPr>
            <w:tcW w:w="3498" w:type="dxa"/>
            <w:tcBorders>
              <w:top w:val="nil"/>
              <w:left w:val="nil"/>
              <w:bottom w:val="nil"/>
              <w:right w:val="nil"/>
            </w:tcBorders>
            <w:shd w:val="clear" w:color="auto" w:fill="FFFFFF"/>
            <w:tcMar>
              <w:top w:w="0" w:type="dxa"/>
              <w:left w:w="0" w:type="dxa"/>
              <w:bottom w:w="0" w:type="dxa"/>
              <w:right w:w="0" w:type="dxa"/>
            </w:tcMar>
            <w:vAlign w:val="center"/>
          </w:tcPr>
          <w:p w14:paraId="68404DB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Preterm birth</w:t>
            </w:r>
          </w:p>
        </w:tc>
        <w:tc>
          <w:tcPr>
            <w:tcW w:w="1620" w:type="dxa"/>
            <w:tcBorders>
              <w:top w:val="nil"/>
              <w:left w:val="nil"/>
              <w:bottom w:val="nil"/>
              <w:right w:val="nil"/>
            </w:tcBorders>
            <w:shd w:val="clear" w:color="auto" w:fill="FFFFFF"/>
            <w:tcMar>
              <w:top w:w="0" w:type="dxa"/>
              <w:left w:w="0" w:type="dxa"/>
              <w:bottom w:w="0" w:type="dxa"/>
              <w:right w:w="0" w:type="dxa"/>
            </w:tcMar>
            <w:vAlign w:val="center"/>
          </w:tcPr>
          <w:p w14:paraId="05F2895A">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173 (9.03%)</w:t>
            </w:r>
          </w:p>
        </w:tc>
        <w:tc>
          <w:tcPr>
            <w:tcW w:w="2628" w:type="dxa"/>
            <w:tcBorders>
              <w:top w:val="nil"/>
              <w:left w:val="nil"/>
              <w:bottom w:val="nil"/>
              <w:right w:val="nil"/>
            </w:tcBorders>
            <w:shd w:val="clear" w:color="auto" w:fill="FFFFFF"/>
            <w:tcMar>
              <w:top w:w="0" w:type="dxa"/>
              <w:left w:w="0" w:type="dxa"/>
              <w:bottom w:w="0" w:type="dxa"/>
              <w:right w:w="0" w:type="dxa"/>
            </w:tcMar>
            <w:vAlign w:val="center"/>
          </w:tcPr>
          <w:p w14:paraId="448BFEB0">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42 (6.57%)</w:t>
            </w:r>
          </w:p>
        </w:tc>
        <w:tc>
          <w:tcPr>
            <w:tcW w:w="2232" w:type="dxa"/>
            <w:tcBorders>
              <w:top w:val="nil"/>
              <w:left w:val="nil"/>
              <w:bottom w:val="nil"/>
              <w:right w:val="nil"/>
            </w:tcBorders>
            <w:shd w:val="clear" w:color="auto" w:fill="FFFFFF"/>
            <w:tcMar>
              <w:top w:w="0" w:type="dxa"/>
              <w:left w:w="0" w:type="dxa"/>
              <w:bottom w:w="0" w:type="dxa"/>
              <w:right w:w="0" w:type="dxa"/>
            </w:tcMar>
            <w:vAlign w:val="center"/>
          </w:tcPr>
          <w:p w14:paraId="49B67A3B">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51 (7.99%)</w:t>
            </w:r>
          </w:p>
        </w:tc>
        <w:tc>
          <w:tcPr>
            <w:tcW w:w="2324" w:type="dxa"/>
            <w:tcBorders>
              <w:top w:val="nil"/>
              <w:left w:val="nil"/>
              <w:bottom w:val="nil"/>
              <w:right w:val="nil"/>
            </w:tcBorders>
            <w:shd w:val="clear" w:color="auto" w:fill="FFFFFF"/>
            <w:tcMar>
              <w:top w:w="0" w:type="dxa"/>
              <w:left w:w="0" w:type="dxa"/>
              <w:bottom w:w="0" w:type="dxa"/>
              <w:right w:w="0" w:type="dxa"/>
            </w:tcMar>
            <w:vAlign w:val="center"/>
          </w:tcPr>
          <w:p w14:paraId="787C1088">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80 (12.52%)</w:t>
            </w:r>
          </w:p>
        </w:tc>
        <w:tc>
          <w:tcPr>
            <w:tcW w:w="960" w:type="dxa"/>
            <w:tcBorders>
              <w:top w:val="nil"/>
              <w:left w:val="nil"/>
              <w:bottom w:val="nil"/>
              <w:right w:val="nil"/>
            </w:tcBorders>
            <w:shd w:val="clear" w:color="auto" w:fill="FFFFFF"/>
            <w:tcMar>
              <w:top w:w="0" w:type="dxa"/>
              <w:left w:w="0" w:type="dxa"/>
              <w:bottom w:w="0" w:type="dxa"/>
              <w:right w:w="0" w:type="dxa"/>
            </w:tcMar>
            <w:vAlign w:val="center"/>
          </w:tcPr>
          <w:p w14:paraId="4A932F36">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&lt;0.001</w:t>
            </w:r>
          </w:p>
        </w:tc>
      </w:tr>
      <w:tr w14:paraId="19CEA62D">
        <w:tblPrEx>
          <w:tblCellMar>
            <w:top w:w="0" w:type="dxa"/>
            <w:left w:w="108" w:type="dxa"/>
            <w:bottom w:w="0" w:type="dxa"/>
            <w:right w:w="108" w:type="dxa"/>
          </w:tblCellMar>
        </w:tblPrEx>
        <w:trPr>
          <w:trHeight w:val="99" w:hRule="atLeast"/>
          <w:jc w:val="center"/>
        </w:trPr>
        <w:tc>
          <w:tcPr>
            <w:tcW w:w="3498" w:type="dxa"/>
            <w:tcBorders>
              <w:top w:val="nil"/>
              <w:left w:val="nil"/>
              <w:bottom w:val="nil"/>
              <w:right w:val="nil"/>
            </w:tcBorders>
            <w:shd w:val="clear" w:color="auto" w:fill="FFFFFF"/>
            <w:tcMar>
              <w:top w:w="0" w:type="dxa"/>
              <w:left w:w="0" w:type="dxa"/>
              <w:bottom w:w="0" w:type="dxa"/>
              <w:right w:w="0" w:type="dxa"/>
            </w:tcMar>
            <w:vAlign w:val="center"/>
          </w:tcPr>
          <w:p w14:paraId="55A04FB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Large for gestational age</w:t>
            </w:r>
          </w:p>
        </w:tc>
        <w:tc>
          <w:tcPr>
            <w:tcW w:w="1620" w:type="dxa"/>
            <w:tcBorders>
              <w:top w:val="nil"/>
              <w:left w:val="nil"/>
              <w:bottom w:val="nil"/>
              <w:right w:val="nil"/>
            </w:tcBorders>
            <w:shd w:val="clear" w:color="auto" w:fill="FFFFFF"/>
            <w:tcMar>
              <w:top w:w="0" w:type="dxa"/>
              <w:left w:w="0" w:type="dxa"/>
              <w:bottom w:w="0" w:type="dxa"/>
              <w:right w:w="0" w:type="dxa"/>
            </w:tcMar>
            <w:vAlign w:val="center"/>
          </w:tcPr>
          <w:p w14:paraId="021F770E">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172 (8.98%)</w:t>
            </w:r>
          </w:p>
        </w:tc>
        <w:tc>
          <w:tcPr>
            <w:tcW w:w="2628" w:type="dxa"/>
            <w:tcBorders>
              <w:top w:val="nil"/>
              <w:left w:val="nil"/>
              <w:bottom w:val="nil"/>
              <w:right w:val="nil"/>
            </w:tcBorders>
            <w:shd w:val="clear" w:color="auto" w:fill="FFFFFF"/>
            <w:tcMar>
              <w:top w:w="0" w:type="dxa"/>
              <w:left w:w="0" w:type="dxa"/>
              <w:bottom w:w="0" w:type="dxa"/>
              <w:right w:w="0" w:type="dxa"/>
            </w:tcMar>
            <w:vAlign w:val="center"/>
          </w:tcPr>
          <w:p w14:paraId="0C26F775">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38 (5.95%)</w:t>
            </w:r>
          </w:p>
        </w:tc>
        <w:tc>
          <w:tcPr>
            <w:tcW w:w="2232" w:type="dxa"/>
            <w:tcBorders>
              <w:top w:val="nil"/>
              <w:left w:val="nil"/>
              <w:bottom w:val="nil"/>
              <w:right w:val="nil"/>
            </w:tcBorders>
            <w:shd w:val="clear" w:color="auto" w:fill="FFFFFF"/>
            <w:tcMar>
              <w:top w:w="0" w:type="dxa"/>
              <w:left w:w="0" w:type="dxa"/>
              <w:bottom w:w="0" w:type="dxa"/>
              <w:right w:w="0" w:type="dxa"/>
            </w:tcMar>
            <w:vAlign w:val="center"/>
          </w:tcPr>
          <w:p w14:paraId="4DEFECCB">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59 (9.25%)</w:t>
            </w:r>
          </w:p>
        </w:tc>
        <w:tc>
          <w:tcPr>
            <w:tcW w:w="2324" w:type="dxa"/>
            <w:tcBorders>
              <w:top w:val="nil"/>
              <w:left w:val="nil"/>
              <w:bottom w:val="nil"/>
              <w:right w:val="nil"/>
            </w:tcBorders>
            <w:shd w:val="clear" w:color="auto" w:fill="FFFFFF"/>
            <w:tcMar>
              <w:top w:w="0" w:type="dxa"/>
              <w:left w:w="0" w:type="dxa"/>
              <w:bottom w:w="0" w:type="dxa"/>
              <w:right w:w="0" w:type="dxa"/>
            </w:tcMar>
            <w:vAlign w:val="center"/>
          </w:tcPr>
          <w:p w14:paraId="085BF571">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75 (11.74%)</w:t>
            </w:r>
          </w:p>
        </w:tc>
        <w:tc>
          <w:tcPr>
            <w:tcW w:w="960" w:type="dxa"/>
            <w:tcBorders>
              <w:top w:val="nil"/>
              <w:left w:val="nil"/>
              <w:bottom w:val="nil"/>
              <w:right w:val="nil"/>
            </w:tcBorders>
            <w:shd w:val="clear" w:color="auto" w:fill="FFFFFF"/>
            <w:tcMar>
              <w:top w:w="0" w:type="dxa"/>
              <w:left w:w="0" w:type="dxa"/>
              <w:bottom w:w="0" w:type="dxa"/>
              <w:right w:w="0" w:type="dxa"/>
            </w:tcMar>
            <w:vAlign w:val="center"/>
          </w:tcPr>
          <w:p w14:paraId="4AE3A21A">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0.001</w:t>
            </w:r>
          </w:p>
        </w:tc>
      </w:tr>
      <w:tr w14:paraId="3BAC5279">
        <w:tblPrEx>
          <w:tblCellMar>
            <w:top w:w="0" w:type="dxa"/>
            <w:left w:w="108" w:type="dxa"/>
            <w:bottom w:w="0" w:type="dxa"/>
            <w:right w:w="108" w:type="dxa"/>
          </w:tblCellMar>
        </w:tblPrEx>
        <w:trPr>
          <w:trHeight w:val="390" w:hRule="atLeast"/>
          <w:jc w:val="center"/>
        </w:trPr>
        <w:tc>
          <w:tcPr>
            <w:tcW w:w="3498" w:type="dxa"/>
            <w:tcBorders>
              <w:top w:val="nil"/>
              <w:left w:val="nil"/>
              <w:bottom w:val="nil"/>
              <w:right w:val="nil"/>
            </w:tcBorders>
            <w:shd w:val="clear" w:color="auto" w:fill="FFFFFF"/>
            <w:tcMar>
              <w:top w:w="0" w:type="dxa"/>
              <w:left w:w="0" w:type="dxa"/>
              <w:bottom w:w="0" w:type="dxa"/>
              <w:right w:w="0" w:type="dxa"/>
            </w:tcMar>
            <w:vAlign w:val="center"/>
          </w:tcPr>
          <w:p w14:paraId="27C9C0F3">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Neonatal hypoglycemia</w:t>
            </w:r>
          </w:p>
        </w:tc>
        <w:tc>
          <w:tcPr>
            <w:tcW w:w="1620" w:type="dxa"/>
            <w:tcBorders>
              <w:top w:val="nil"/>
              <w:left w:val="nil"/>
              <w:bottom w:val="nil"/>
              <w:right w:val="nil"/>
            </w:tcBorders>
            <w:shd w:val="clear" w:color="auto" w:fill="FFFFFF"/>
            <w:tcMar>
              <w:top w:w="0" w:type="dxa"/>
              <w:left w:w="0" w:type="dxa"/>
              <w:bottom w:w="0" w:type="dxa"/>
              <w:right w:w="0" w:type="dxa"/>
            </w:tcMar>
            <w:vAlign w:val="center"/>
          </w:tcPr>
          <w:p w14:paraId="01FBF163">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145 (7.57%)</w:t>
            </w:r>
          </w:p>
        </w:tc>
        <w:tc>
          <w:tcPr>
            <w:tcW w:w="2628" w:type="dxa"/>
            <w:tcBorders>
              <w:top w:val="nil"/>
              <w:left w:val="nil"/>
              <w:bottom w:val="nil"/>
              <w:right w:val="nil"/>
            </w:tcBorders>
            <w:shd w:val="clear" w:color="auto" w:fill="FFFFFF"/>
            <w:tcMar>
              <w:top w:w="0" w:type="dxa"/>
              <w:left w:w="0" w:type="dxa"/>
              <w:bottom w:w="0" w:type="dxa"/>
              <w:right w:w="0" w:type="dxa"/>
            </w:tcMar>
            <w:vAlign w:val="center"/>
          </w:tcPr>
          <w:p w14:paraId="396824E7">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25 (3.91%)</w:t>
            </w:r>
          </w:p>
        </w:tc>
        <w:tc>
          <w:tcPr>
            <w:tcW w:w="2232" w:type="dxa"/>
            <w:tcBorders>
              <w:top w:val="nil"/>
              <w:left w:val="nil"/>
              <w:bottom w:val="nil"/>
              <w:right w:val="nil"/>
            </w:tcBorders>
            <w:shd w:val="clear" w:color="auto" w:fill="FFFFFF"/>
            <w:tcMar>
              <w:top w:w="0" w:type="dxa"/>
              <w:left w:w="0" w:type="dxa"/>
              <w:bottom w:w="0" w:type="dxa"/>
              <w:right w:w="0" w:type="dxa"/>
            </w:tcMar>
            <w:vAlign w:val="center"/>
          </w:tcPr>
          <w:p w14:paraId="6B5C85C3">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49 (7.68%)</w:t>
            </w:r>
          </w:p>
        </w:tc>
        <w:tc>
          <w:tcPr>
            <w:tcW w:w="2324" w:type="dxa"/>
            <w:tcBorders>
              <w:top w:val="nil"/>
              <w:left w:val="nil"/>
              <w:bottom w:val="nil"/>
              <w:right w:val="nil"/>
            </w:tcBorders>
            <w:shd w:val="clear" w:color="auto" w:fill="FFFFFF"/>
            <w:tcMar>
              <w:top w:w="0" w:type="dxa"/>
              <w:left w:w="0" w:type="dxa"/>
              <w:bottom w:w="0" w:type="dxa"/>
              <w:right w:w="0" w:type="dxa"/>
            </w:tcMar>
            <w:vAlign w:val="center"/>
          </w:tcPr>
          <w:p w14:paraId="5784847F">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71 (11.11%)</w:t>
            </w:r>
          </w:p>
        </w:tc>
        <w:tc>
          <w:tcPr>
            <w:tcW w:w="960" w:type="dxa"/>
            <w:tcBorders>
              <w:top w:val="nil"/>
              <w:left w:val="nil"/>
              <w:bottom w:val="nil"/>
              <w:right w:val="nil"/>
            </w:tcBorders>
            <w:shd w:val="clear" w:color="auto" w:fill="FFFFFF"/>
            <w:tcMar>
              <w:top w:w="0" w:type="dxa"/>
              <w:left w:w="0" w:type="dxa"/>
              <w:bottom w:w="0" w:type="dxa"/>
              <w:right w:w="0" w:type="dxa"/>
            </w:tcMar>
            <w:vAlign w:val="center"/>
          </w:tcPr>
          <w:p w14:paraId="11DBE351">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&lt;0.001</w:t>
            </w:r>
          </w:p>
        </w:tc>
      </w:tr>
      <w:tr w14:paraId="40590ED1">
        <w:tblPrEx>
          <w:tblCellMar>
            <w:top w:w="0" w:type="dxa"/>
            <w:left w:w="108" w:type="dxa"/>
            <w:bottom w:w="0" w:type="dxa"/>
            <w:right w:w="108" w:type="dxa"/>
          </w:tblCellMar>
        </w:tblPrEx>
        <w:trPr>
          <w:trHeight w:val="419" w:hRule="atLeast"/>
          <w:jc w:val="center"/>
        </w:trPr>
        <w:tc>
          <w:tcPr>
            <w:tcW w:w="3498"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5CE4C0B3">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NICU admission</w:t>
            </w:r>
          </w:p>
        </w:tc>
        <w:tc>
          <w:tcPr>
            <w:tcW w:w="1620"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4EC17D93">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240 (12.53%)</w:t>
            </w:r>
          </w:p>
        </w:tc>
        <w:tc>
          <w:tcPr>
            <w:tcW w:w="2628"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6FFB557A">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65 (10.17%)</w:t>
            </w:r>
          </w:p>
        </w:tc>
        <w:tc>
          <w:tcPr>
            <w:tcW w:w="2232"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180B2ACD">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64 (10.03%)</w:t>
            </w:r>
          </w:p>
        </w:tc>
        <w:tc>
          <w:tcPr>
            <w:tcW w:w="2324"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7F75A926">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111 (17.37%)</w:t>
            </w:r>
          </w:p>
        </w:tc>
        <w:tc>
          <w:tcPr>
            <w:tcW w:w="960"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5FE71D39">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&lt;0.001</w:t>
            </w:r>
          </w:p>
        </w:tc>
      </w:tr>
      <w:tr w14:paraId="293DC312">
        <w:tblPrEx>
          <w:tblCellMar>
            <w:top w:w="0" w:type="dxa"/>
            <w:left w:w="108" w:type="dxa"/>
            <w:bottom w:w="0" w:type="dxa"/>
            <w:right w:w="108" w:type="dxa"/>
          </w:tblCellMar>
        </w:tblPrEx>
        <w:trPr>
          <w:trHeight w:val="23" w:hRule="atLeast"/>
          <w:tblHeader/>
          <w:jc w:val="center"/>
        </w:trPr>
        <w:tc>
          <w:tcPr>
            <w:tcW w:w="13262" w:type="dxa"/>
            <w:gridSpan w:val="6"/>
            <w:tcBorders>
              <w:top w:val="single" w:color="666666" w:sz="12" w:space="0"/>
              <w:left w:val="nil"/>
              <w:bottom w:val="nil"/>
              <w:right w:val="nil"/>
            </w:tcBorders>
            <w:shd w:val="clear" w:color="auto" w:fill="FFFFFF"/>
            <w:tcMar>
              <w:top w:w="0" w:type="dxa"/>
              <w:left w:w="0" w:type="dxa"/>
              <w:bottom w:w="0" w:type="dxa"/>
              <w:right w:w="0" w:type="dxa"/>
            </w:tcMar>
            <w:vAlign w:val="center"/>
          </w:tcPr>
          <w:p w14:paraId="72AD7C64">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 xml:space="preserve">Abbreviations: SDOH, social determinants of health; </w:t>
            </w:r>
            <w:r>
              <w:rPr>
                <w:rFonts w:hint="eastAsia" w:ascii="Times New Roman" w:hAnsi="Times New Roman"/>
                <w:sz w:val="24"/>
              </w:rPr>
              <w:t>NICU,</w:t>
            </w:r>
            <w:r>
              <w:rPr>
                <w:rFonts w:ascii="Times New Roman" w:hAnsi="Times New Roman"/>
                <w:sz w:val="24"/>
              </w:rPr>
              <w:t xml:space="preserve"> neonatal intensive care unit</w:t>
            </w:r>
            <w:r>
              <w:rPr>
                <w:rFonts w:hint="eastAsia" w:ascii="Times New Roman" w:hAnsi="Times New Roman"/>
                <w:sz w:val="24"/>
              </w:rPr>
              <w:t>.</w:t>
            </w:r>
          </w:p>
        </w:tc>
      </w:tr>
      <w:tr w14:paraId="39EDA345">
        <w:tblPrEx>
          <w:tblCellMar>
            <w:top w:w="0" w:type="dxa"/>
            <w:left w:w="108" w:type="dxa"/>
            <w:bottom w:w="0" w:type="dxa"/>
            <w:right w:w="108" w:type="dxa"/>
          </w:tblCellMar>
        </w:tblPrEx>
        <w:trPr>
          <w:trHeight w:val="23" w:hRule="atLeast"/>
          <w:tblHeader/>
          <w:jc w:val="center"/>
        </w:trPr>
        <w:tc>
          <w:tcPr>
            <w:tcW w:w="13262" w:type="dxa"/>
            <w:gridSpan w:val="6"/>
            <w:tcBorders>
              <w:top w:val="nil"/>
              <w:left w:val="nil"/>
              <w:bottom w:val="nil"/>
              <w:right w:val="nil"/>
            </w:tcBorders>
            <w:shd w:val="clear" w:color="auto" w:fill="FFFFFF"/>
            <w:tcMar>
              <w:top w:w="0" w:type="dxa"/>
              <w:left w:w="0" w:type="dxa"/>
              <w:bottom w:w="0" w:type="dxa"/>
              <w:right w:w="0" w:type="dxa"/>
            </w:tcMar>
            <w:vAlign w:val="center"/>
          </w:tcPr>
          <w:p w14:paraId="200C1060">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Data are presented as n (%). P values were calculated using chi-square tests across SDOH profiles. The composite adverse neonatal outcome was defined as the occurrence of any of the following: preterm birth, large-for-gestational-age birth, neonatal hypoglycemia, or NICU admission.</w:t>
            </w:r>
          </w:p>
        </w:tc>
      </w:tr>
    </w:tbl>
    <w:p w14:paraId="1480F8D9">
      <w:pPr>
        <w:pStyle w:val="4"/>
        <w:keepNext/>
        <w:pBdr>
          <w:top w:val="none" w:color="000000" w:sz="0" w:space="0"/>
          <w:left w:val="none" w:color="000000" w:sz="0" w:space="0"/>
          <w:bottom w:val="none" w:color="000000" w:sz="0" w:space="0"/>
          <w:right w:val="none" w:color="000000" w:sz="0" w:space="0"/>
        </w:pBdr>
        <w:spacing w:before="60" w:after="60"/>
        <w:ind w:right="60"/>
        <w:jc w:val="both"/>
        <w:rPr>
          <w:rFonts w:ascii="Times New Roman" w:hAnsi="Times New Roman" w:cs="Times New Roman"/>
          <w:i w:val="0"/>
          <w:iCs/>
          <w:sz w:val="24"/>
        </w:rPr>
      </w:pPr>
    </w:p>
    <w:p w14:paraId="0B94FCD4">
      <w:pPr>
        <w:widowControl/>
        <w:jc w:val="left"/>
        <w:rPr>
          <w:rFonts w:ascii="Times New Roman" w:hAnsi="Times New Roman" w:cs="Times New Roman"/>
          <w:b/>
          <w:iCs/>
          <w:sz w:val="24"/>
        </w:rPr>
      </w:pPr>
      <w:r>
        <w:rPr>
          <w:rFonts w:ascii="Times New Roman" w:hAnsi="Times New Roman" w:cs="Times New Roman"/>
          <w:i/>
          <w:iCs/>
          <w:sz w:val="24"/>
        </w:rPr>
        <w:br w:type="page"/>
      </w:r>
    </w:p>
    <w:p w14:paraId="3C9B1340">
      <w:pPr>
        <w:pStyle w:val="4"/>
        <w:keepNext/>
        <w:pBdr>
          <w:top w:val="none" w:color="000000" w:sz="0" w:space="0"/>
          <w:left w:val="none" w:color="000000" w:sz="0" w:space="0"/>
          <w:bottom w:val="none" w:color="000000" w:sz="0" w:space="0"/>
          <w:right w:val="none" w:color="000000" w:sz="0" w:space="0"/>
        </w:pBdr>
        <w:spacing w:before="60" w:after="60"/>
        <w:ind w:right="60"/>
        <w:jc w:val="both"/>
        <w:rPr>
          <w:rFonts w:ascii="Times New Roman" w:hAnsi="Times New Roman" w:cs="Times New Roman"/>
          <w:i w:val="0"/>
          <w:iCs/>
          <w:sz w:val="24"/>
        </w:rPr>
      </w:pPr>
      <w:r>
        <w:rPr>
          <w:rFonts w:ascii="Times New Roman" w:hAnsi="Times New Roman" w:cs="Times New Roman"/>
          <w:i w:val="0"/>
          <w:iCs/>
          <w:sz w:val="24"/>
        </w:rPr>
        <w:t>Supplementary Table S2. Components of composite adverse neonatal outcomes according to GWG trajectory</w:t>
      </w:r>
    </w:p>
    <w:tbl>
      <w:tblPr>
        <w:tblStyle w:val="2"/>
        <w:tblW w:w="14329" w:type="dxa"/>
        <w:tblInd w:w="-595" w:type="dxa"/>
        <w:tblLayout w:type="fixed"/>
        <w:tblCellMar>
          <w:top w:w="0" w:type="dxa"/>
          <w:left w:w="108" w:type="dxa"/>
          <w:bottom w:w="0" w:type="dxa"/>
          <w:right w:w="108" w:type="dxa"/>
        </w:tblCellMar>
      </w:tblPr>
      <w:tblGrid>
        <w:gridCol w:w="4167"/>
        <w:gridCol w:w="1780"/>
        <w:gridCol w:w="2382"/>
        <w:gridCol w:w="2256"/>
        <w:gridCol w:w="2304"/>
        <w:gridCol w:w="1440"/>
      </w:tblGrid>
      <w:tr w14:paraId="21D01532">
        <w:tblPrEx>
          <w:tblCellMar>
            <w:top w:w="0" w:type="dxa"/>
            <w:left w:w="108" w:type="dxa"/>
            <w:bottom w:w="0" w:type="dxa"/>
            <w:right w:w="108" w:type="dxa"/>
          </w:tblCellMar>
        </w:tblPrEx>
        <w:trPr>
          <w:wBefore w:w="0" w:type="auto"/>
          <w:trHeight w:val="181" w:hRule="atLeast"/>
          <w:tblHeader/>
        </w:trPr>
        <w:tc>
          <w:tcPr>
            <w:tcW w:w="4167" w:type="dxa"/>
            <w:vMerge w:val="restart"/>
            <w:tcBorders>
              <w:top w:val="single" w:color="666666" w:sz="12" w:space="0"/>
              <w:left w:val="nil"/>
              <w:right w:val="nil"/>
            </w:tcBorders>
            <w:shd w:val="clear" w:color="auto" w:fill="FFFFFF"/>
            <w:tcMar>
              <w:top w:w="0" w:type="dxa"/>
              <w:left w:w="0" w:type="dxa"/>
              <w:bottom w:w="0" w:type="dxa"/>
              <w:right w:w="0" w:type="dxa"/>
            </w:tcMar>
            <w:vAlign w:val="center"/>
          </w:tcPr>
          <w:p w14:paraId="243E595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Outcome</w:t>
            </w:r>
          </w:p>
        </w:tc>
        <w:tc>
          <w:tcPr>
            <w:tcW w:w="1780" w:type="dxa"/>
            <w:vMerge w:val="restart"/>
            <w:tcBorders>
              <w:top w:val="single" w:color="666666" w:sz="12" w:space="0"/>
              <w:left w:val="nil"/>
              <w:right w:val="nil"/>
            </w:tcBorders>
            <w:shd w:val="clear" w:color="auto" w:fill="FFFFFF"/>
            <w:tcMar>
              <w:top w:w="0" w:type="dxa"/>
              <w:left w:w="0" w:type="dxa"/>
              <w:bottom w:w="0" w:type="dxa"/>
              <w:right w:w="0" w:type="dxa"/>
            </w:tcMar>
            <w:vAlign w:val="center"/>
          </w:tcPr>
          <w:p w14:paraId="06F719D5">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Overall</w:t>
            </w:r>
          </w:p>
          <w:p w14:paraId="1050DC99">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hint="eastAsia" w:ascii="Times New Roman" w:hAnsi="Times New Roman" w:eastAsia="宋体" w:cs="Times New Roman"/>
                <w:b/>
                <w:color w:val="000000"/>
                <w:sz w:val="22"/>
                <w:szCs w:val="22"/>
              </w:rPr>
              <w:t>(N=1916)</w:t>
            </w:r>
          </w:p>
        </w:tc>
        <w:tc>
          <w:tcPr>
            <w:tcW w:w="6942" w:type="dxa"/>
            <w:gridSpan w:val="3"/>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3B9C7BF">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hint="eastAsia" w:ascii="Times New Roman" w:hAnsi="Times New Roman" w:eastAsia="宋体" w:cs="Times New Roman"/>
                <w:b/>
                <w:color w:val="000000"/>
                <w:sz w:val="22"/>
                <w:szCs w:val="22"/>
              </w:rPr>
              <w:t>GWG trajectory</w:t>
            </w:r>
          </w:p>
        </w:tc>
        <w:tc>
          <w:tcPr>
            <w:tcW w:w="1440" w:type="dxa"/>
            <w:vMerge w:val="restart"/>
            <w:tcBorders>
              <w:top w:val="single" w:color="666666" w:sz="12" w:space="0"/>
              <w:left w:val="nil"/>
              <w:right w:val="nil"/>
            </w:tcBorders>
            <w:shd w:val="clear" w:color="auto" w:fill="FFFFFF"/>
            <w:tcMar>
              <w:top w:w="0" w:type="dxa"/>
              <w:left w:w="0" w:type="dxa"/>
              <w:bottom w:w="0" w:type="dxa"/>
              <w:right w:w="0" w:type="dxa"/>
            </w:tcMar>
            <w:vAlign w:val="center"/>
          </w:tcPr>
          <w:p w14:paraId="3930D7B5">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P value</w:t>
            </w:r>
          </w:p>
        </w:tc>
      </w:tr>
      <w:tr w14:paraId="79D06583">
        <w:tblPrEx>
          <w:tblCellMar>
            <w:top w:w="0" w:type="dxa"/>
            <w:left w:w="108" w:type="dxa"/>
            <w:bottom w:w="0" w:type="dxa"/>
            <w:right w:w="108" w:type="dxa"/>
          </w:tblCellMar>
        </w:tblPrEx>
        <w:trPr>
          <w:wBefore w:w="0" w:type="auto"/>
          <w:trHeight w:val="181" w:hRule="atLeast"/>
          <w:tblHeader/>
        </w:trPr>
        <w:tc>
          <w:tcPr>
            <w:tcW w:w="4167" w:type="dxa"/>
            <w:vMerge w:val="continue"/>
            <w:tcBorders>
              <w:left w:val="nil"/>
              <w:bottom w:val="single" w:color="666666" w:sz="12" w:space="0"/>
              <w:right w:val="nil"/>
            </w:tcBorders>
            <w:shd w:val="clear" w:color="auto" w:fill="FFFFFF"/>
            <w:tcMar>
              <w:top w:w="0" w:type="dxa"/>
              <w:left w:w="0" w:type="dxa"/>
              <w:bottom w:w="0" w:type="dxa"/>
              <w:right w:w="0" w:type="dxa"/>
            </w:tcMar>
            <w:vAlign w:val="center"/>
          </w:tcPr>
          <w:p w14:paraId="02957A64">
            <w:pPr>
              <w:pBdr>
                <w:top w:val="none" w:color="000000" w:sz="0" w:space="0"/>
                <w:left w:val="none" w:color="000000" w:sz="0" w:space="0"/>
                <w:bottom w:val="none" w:color="000000" w:sz="0" w:space="0"/>
                <w:right w:val="none" w:color="000000" w:sz="0" w:space="0"/>
              </w:pBdr>
              <w:spacing w:before="40" w:after="40"/>
              <w:ind w:left="102" w:right="102"/>
              <w:jc w:val="center"/>
            </w:pPr>
          </w:p>
        </w:tc>
        <w:tc>
          <w:tcPr>
            <w:tcW w:w="1780" w:type="dxa"/>
            <w:vMerge w:val="continue"/>
            <w:tcBorders>
              <w:left w:val="nil"/>
              <w:bottom w:val="single" w:color="666666" w:sz="12" w:space="0"/>
              <w:right w:val="nil"/>
            </w:tcBorders>
            <w:shd w:val="clear" w:color="auto" w:fill="FFFFFF"/>
            <w:tcMar>
              <w:top w:w="0" w:type="dxa"/>
              <w:left w:w="0" w:type="dxa"/>
              <w:bottom w:w="0" w:type="dxa"/>
              <w:right w:w="0" w:type="dxa"/>
            </w:tcMar>
            <w:vAlign w:val="center"/>
          </w:tcPr>
          <w:p w14:paraId="4EA5D985">
            <w:pPr>
              <w:pBdr>
                <w:top w:val="none" w:color="000000" w:sz="0" w:space="0"/>
                <w:left w:val="none" w:color="000000" w:sz="0" w:space="0"/>
                <w:bottom w:val="none" w:color="000000" w:sz="0" w:space="0"/>
                <w:right w:val="none" w:color="000000" w:sz="0" w:space="0"/>
              </w:pBdr>
              <w:spacing w:before="40" w:after="40"/>
              <w:ind w:left="102" w:right="102"/>
              <w:jc w:val="center"/>
            </w:pPr>
          </w:p>
        </w:tc>
        <w:tc>
          <w:tcPr>
            <w:tcW w:w="2382"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F738E40">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Low trajectory</w:t>
            </w:r>
          </w:p>
          <w:p w14:paraId="197BE86B">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cs="Times New Roman"/>
                <w:b/>
                <w:bCs/>
                <w:color w:val="000000"/>
                <w:sz w:val="22"/>
                <w:szCs w:val="22"/>
              </w:rPr>
            </w:pPr>
            <w:r>
              <w:rPr>
                <w:rFonts w:ascii="Times New Roman" w:hAnsi="Times New Roman" w:eastAsia="Arial" w:cs="Times New Roman"/>
                <w:b/>
                <w:color w:val="000000"/>
                <w:sz w:val="22"/>
                <w:szCs w:val="22"/>
              </w:rPr>
              <w:t>(</w:t>
            </w:r>
            <w:r>
              <w:rPr>
                <w:rFonts w:hint="eastAsia" w:ascii="Times New Roman" w:hAnsi="Times New Roman" w:eastAsia="宋体" w:cs="Times New Roman"/>
                <w:b/>
                <w:color w:val="000000"/>
                <w:sz w:val="22"/>
                <w:szCs w:val="22"/>
              </w:rPr>
              <w:t xml:space="preserve">n </w:t>
            </w:r>
            <w:r>
              <w:rPr>
                <w:rFonts w:ascii="Times New Roman" w:hAnsi="Times New Roman" w:eastAsia="Arial" w:cs="Times New Roman"/>
                <w:b/>
                <w:color w:val="000000"/>
                <w:sz w:val="22"/>
                <w:szCs w:val="22"/>
              </w:rPr>
              <w:t>=</w:t>
            </w:r>
            <w:r>
              <w:rPr>
                <w:rFonts w:hint="eastAsia" w:ascii="Times New Roman" w:hAnsi="Times New Roman" w:eastAsia="宋体" w:cs="Times New Roman"/>
                <w:b/>
                <w:color w:val="000000"/>
                <w:sz w:val="22"/>
                <w:szCs w:val="22"/>
              </w:rPr>
              <w:t xml:space="preserve"> 640</w:t>
            </w:r>
            <w:r>
              <w:rPr>
                <w:rFonts w:ascii="Times New Roman" w:hAnsi="Times New Roman" w:eastAsia="Arial" w:cs="Times New Roman"/>
                <w:b/>
                <w:color w:val="000000"/>
                <w:sz w:val="22"/>
                <w:szCs w:val="22"/>
              </w:rPr>
              <w:t>)</w:t>
            </w:r>
          </w:p>
        </w:tc>
        <w:tc>
          <w:tcPr>
            <w:tcW w:w="2256"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4FC3CF3">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cs="Times New Roman"/>
                <w:b/>
                <w:bCs/>
                <w:color w:val="000000"/>
                <w:sz w:val="22"/>
                <w:szCs w:val="22"/>
              </w:rPr>
            </w:pPr>
            <w:r>
              <w:rPr>
                <w:rFonts w:ascii="Times New Roman" w:hAnsi="Times New Roman" w:eastAsia="Arial" w:cs="Times New Roman"/>
                <w:b/>
                <w:color w:val="000000"/>
                <w:sz w:val="22"/>
                <w:szCs w:val="22"/>
              </w:rPr>
              <w:t>Moderate trajectory (</w:t>
            </w:r>
            <w:r>
              <w:rPr>
                <w:rFonts w:hint="eastAsia" w:ascii="Times New Roman" w:hAnsi="Times New Roman" w:eastAsia="宋体" w:cs="Times New Roman"/>
                <w:b/>
                <w:color w:val="000000"/>
                <w:sz w:val="22"/>
                <w:szCs w:val="22"/>
              </w:rPr>
              <w:t xml:space="preserve">n </w:t>
            </w:r>
            <w:r>
              <w:rPr>
                <w:rFonts w:ascii="Times New Roman" w:hAnsi="Times New Roman" w:eastAsia="Arial" w:cs="Times New Roman"/>
                <w:b/>
                <w:color w:val="000000"/>
                <w:sz w:val="22"/>
                <w:szCs w:val="22"/>
              </w:rPr>
              <w:t>=</w:t>
            </w:r>
            <w:r>
              <w:rPr>
                <w:rFonts w:hint="eastAsia" w:ascii="Times New Roman" w:hAnsi="Times New Roman" w:eastAsia="宋体" w:cs="Times New Roman"/>
                <w:b/>
                <w:color w:val="000000"/>
                <w:sz w:val="22"/>
                <w:szCs w:val="22"/>
              </w:rPr>
              <w:t xml:space="preserve"> 966</w:t>
            </w:r>
            <w:r>
              <w:rPr>
                <w:rFonts w:ascii="Times New Roman" w:hAnsi="Times New Roman" w:eastAsia="Arial" w:cs="Times New Roman"/>
                <w:b/>
                <w:color w:val="000000"/>
                <w:sz w:val="22"/>
                <w:szCs w:val="22"/>
              </w:rPr>
              <w:t>)</w:t>
            </w:r>
          </w:p>
        </w:tc>
        <w:tc>
          <w:tcPr>
            <w:tcW w:w="2304"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28DC7B8">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High trajectory</w:t>
            </w:r>
          </w:p>
          <w:p w14:paraId="197145B2">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cs="Times New Roman"/>
                <w:b/>
                <w:bCs/>
                <w:color w:val="000000"/>
                <w:sz w:val="22"/>
                <w:szCs w:val="22"/>
              </w:rPr>
            </w:pPr>
            <w:r>
              <w:rPr>
                <w:rFonts w:ascii="Times New Roman" w:hAnsi="Times New Roman" w:eastAsia="Arial" w:cs="Times New Roman"/>
                <w:b/>
                <w:color w:val="000000"/>
                <w:sz w:val="22"/>
                <w:szCs w:val="22"/>
              </w:rPr>
              <w:t>(</w:t>
            </w:r>
            <w:r>
              <w:rPr>
                <w:rFonts w:hint="eastAsia" w:ascii="Times New Roman" w:hAnsi="Times New Roman" w:eastAsia="宋体" w:cs="Times New Roman"/>
                <w:b/>
                <w:color w:val="000000"/>
                <w:sz w:val="22"/>
                <w:szCs w:val="22"/>
              </w:rPr>
              <w:t xml:space="preserve">n </w:t>
            </w:r>
            <w:r>
              <w:rPr>
                <w:rFonts w:ascii="Times New Roman" w:hAnsi="Times New Roman" w:eastAsia="Arial" w:cs="Times New Roman"/>
                <w:b/>
                <w:color w:val="000000"/>
                <w:sz w:val="22"/>
                <w:szCs w:val="22"/>
              </w:rPr>
              <w:t>=</w:t>
            </w:r>
            <w:r>
              <w:rPr>
                <w:rFonts w:hint="eastAsia" w:ascii="Times New Roman" w:hAnsi="Times New Roman" w:eastAsia="宋体" w:cs="Times New Roman"/>
                <w:b/>
                <w:color w:val="000000"/>
                <w:sz w:val="22"/>
                <w:szCs w:val="22"/>
              </w:rPr>
              <w:t xml:space="preserve"> 310</w:t>
            </w:r>
            <w:r>
              <w:rPr>
                <w:rFonts w:ascii="Times New Roman" w:hAnsi="Times New Roman" w:eastAsia="Arial" w:cs="Times New Roman"/>
                <w:b/>
                <w:color w:val="000000"/>
                <w:sz w:val="22"/>
                <w:szCs w:val="22"/>
              </w:rPr>
              <w:t>)</w:t>
            </w:r>
          </w:p>
        </w:tc>
        <w:tc>
          <w:tcPr>
            <w:tcW w:w="1440" w:type="dxa"/>
            <w:vMerge w:val="continue"/>
            <w:tcBorders>
              <w:left w:val="nil"/>
              <w:bottom w:val="single" w:color="666666" w:sz="12" w:space="0"/>
              <w:right w:val="nil"/>
            </w:tcBorders>
            <w:shd w:val="clear" w:color="auto" w:fill="FFFFFF"/>
            <w:tcMar>
              <w:top w:w="0" w:type="dxa"/>
              <w:left w:w="0" w:type="dxa"/>
              <w:bottom w:w="0" w:type="dxa"/>
              <w:right w:w="0" w:type="dxa"/>
            </w:tcMar>
            <w:vAlign w:val="center"/>
          </w:tcPr>
          <w:p w14:paraId="35F3C920">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cs="Times New Roman"/>
                <w:b/>
                <w:bCs/>
                <w:color w:val="000000"/>
                <w:sz w:val="22"/>
                <w:szCs w:val="22"/>
              </w:rPr>
            </w:pPr>
          </w:p>
        </w:tc>
      </w:tr>
      <w:tr w14:paraId="52DA2D42">
        <w:tblPrEx>
          <w:tblCellMar>
            <w:top w:w="0" w:type="dxa"/>
            <w:left w:w="108" w:type="dxa"/>
            <w:bottom w:w="0" w:type="dxa"/>
            <w:right w:w="108" w:type="dxa"/>
          </w:tblCellMar>
        </w:tblPrEx>
        <w:trPr>
          <w:wBefore w:w="0" w:type="auto"/>
        </w:trPr>
        <w:tc>
          <w:tcPr>
            <w:tcW w:w="4167"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46C9DBDB">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Cs/>
                <w:color w:val="000000"/>
                <w:sz w:val="22"/>
                <w:szCs w:val="22"/>
              </w:rPr>
            </w:pPr>
            <w:r>
              <w:rPr>
                <w:rFonts w:ascii="Times New Roman" w:hAnsi="Times New Roman" w:eastAsia="Arial" w:cs="Times New Roman"/>
                <w:bCs/>
                <w:color w:val="000000"/>
                <w:sz w:val="22"/>
                <w:szCs w:val="22"/>
              </w:rPr>
              <w:t>Composite adverse neonatal outcome</w:t>
            </w:r>
          </w:p>
        </w:tc>
        <w:tc>
          <w:tcPr>
            <w:tcW w:w="1780"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49043F58">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482 (25.16%)</w:t>
            </w:r>
          </w:p>
        </w:tc>
        <w:tc>
          <w:tcPr>
            <w:tcW w:w="2382"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42FEE431">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127 (19.84%)</w:t>
            </w:r>
          </w:p>
        </w:tc>
        <w:tc>
          <w:tcPr>
            <w:tcW w:w="2256"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478501BE">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230 (23.81%)</w:t>
            </w:r>
          </w:p>
        </w:tc>
        <w:tc>
          <w:tcPr>
            <w:tcW w:w="2304"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54A0BCF9">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125 (40.32%)</w:t>
            </w:r>
          </w:p>
        </w:tc>
        <w:tc>
          <w:tcPr>
            <w:tcW w:w="1440"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357E8C53">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&lt;0.001</w:t>
            </w:r>
          </w:p>
        </w:tc>
      </w:tr>
      <w:tr w14:paraId="157F32C9">
        <w:tblPrEx>
          <w:tblCellMar>
            <w:top w:w="0" w:type="dxa"/>
            <w:left w:w="108" w:type="dxa"/>
            <w:bottom w:w="0" w:type="dxa"/>
            <w:right w:w="108" w:type="dxa"/>
          </w:tblCellMar>
        </w:tblPrEx>
        <w:trPr>
          <w:wBefore w:w="0" w:type="auto"/>
        </w:trPr>
        <w:tc>
          <w:tcPr>
            <w:tcW w:w="4167" w:type="dxa"/>
            <w:tcBorders>
              <w:top w:val="nil"/>
              <w:left w:val="nil"/>
              <w:bottom w:val="nil"/>
              <w:right w:val="nil"/>
            </w:tcBorders>
            <w:shd w:val="clear" w:color="auto" w:fill="FFFFFF"/>
            <w:tcMar>
              <w:top w:w="0" w:type="dxa"/>
              <w:left w:w="0" w:type="dxa"/>
              <w:bottom w:w="0" w:type="dxa"/>
              <w:right w:w="0" w:type="dxa"/>
            </w:tcMar>
            <w:vAlign w:val="center"/>
          </w:tcPr>
          <w:p w14:paraId="17072667">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Cs/>
                <w:color w:val="000000"/>
                <w:sz w:val="22"/>
                <w:szCs w:val="22"/>
              </w:rPr>
            </w:pPr>
            <w:r>
              <w:rPr>
                <w:rFonts w:ascii="Times New Roman" w:hAnsi="Times New Roman" w:eastAsia="Arial" w:cs="Times New Roman"/>
                <w:bCs/>
                <w:color w:val="000000"/>
                <w:sz w:val="22"/>
                <w:szCs w:val="22"/>
              </w:rPr>
              <w:t>Preterm birth</w:t>
            </w:r>
          </w:p>
        </w:tc>
        <w:tc>
          <w:tcPr>
            <w:tcW w:w="1780" w:type="dxa"/>
            <w:tcBorders>
              <w:top w:val="nil"/>
              <w:left w:val="nil"/>
              <w:bottom w:val="nil"/>
              <w:right w:val="nil"/>
            </w:tcBorders>
            <w:shd w:val="clear" w:color="auto" w:fill="FFFFFF"/>
            <w:tcMar>
              <w:top w:w="0" w:type="dxa"/>
              <w:left w:w="0" w:type="dxa"/>
              <w:bottom w:w="0" w:type="dxa"/>
              <w:right w:w="0" w:type="dxa"/>
            </w:tcMar>
            <w:vAlign w:val="center"/>
          </w:tcPr>
          <w:p w14:paraId="085906B4">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173 (9.03%)</w:t>
            </w:r>
          </w:p>
        </w:tc>
        <w:tc>
          <w:tcPr>
            <w:tcW w:w="2382" w:type="dxa"/>
            <w:tcBorders>
              <w:top w:val="nil"/>
              <w:left w:val="nil"/>
              <w:bottom w:val="nil"/>
              <w:right w:val="nil"/>
            </w:tcBorders>
            <w:shd w:val="clear" w:color="auto" w:fill="FFFFFF"/>
            <w:tcMar>
              <w:top w:w="0" w:type="dxa"/>
              <w:left w:w="0" w:type="dxa"/>
              <w:bottom w:w="0" w:type="dxa"/>
              <w:right w:w="0" w:type="dxa"/>
            </w:tcMar>
            <w:vAlign w:val="center"/>
          </w:tcPr>
          <w:p w14:paraId="5A62CD3A">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50 (7.81%)</w:t>
            </w:r>
          </w:p>
        </w:tc>
        <w:tc>
          <w:tcPr>
            <w:tcW w:w="2256" w:type="dxa"/>
            <w:tcBorders>
              <w:top w:val="nil"/>
              <w:left w:val="nil"/>
              <w:bottom w:val="nil"/>
              <w:right w:val="nil"/>
            </w:tcBorders>
            <w:shd w:val="clear" w:color="auto" w:fill="FFFFFF"/>
            <w:tcMar>
              <w:top w:w="0" w:type="dxa"/>
              <w:left w:w="0" w:type="dxa"/>
              <w:bottom w:w="0" w:type="dxa"/>
              <w:right w:w="0" w:type="dxa"/>
            </w:tcMar>
            <w:vAlign w:val="center"/>
          </w:tcPr>
          <w:p w14:paraId="1B681FDC">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87 (9.01%)</w:t>
            </w:r>
          </w:p>
        </w:tc>
        <w:tc>
          <w:tcPr>
            <w:tcW w:w="2304" w:type="dxa"/>
            <w:tcBorders>
              <w:top w:val="nil"/>
              <w:left w:val="nil"/>
              <w:bottom w:val="nil"/>
              <w:right w:val="nil"/>
            </w:tcBorders>
            <w:shd w:val="clear" w:color="auto" w:fill="FFFFFF"/>
            <w:tcMar>
              <w:top w:w="0" w:type="dxa"/>
              <w:left w:w="0" w:type="dxa"/>
              <w:bottom w:w="0" w:type="dxa"/>
              <w:right w:w="0" w:type="dxa"/>
            </w:tcMar>
            <w:vAlign w:val="center"/>
          </w:tcPr>
          <w:p w14:paraId="049B0315">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36 (11.61%)</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9D1ED08">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0.159</w:t>
            </w:r>
          </w:p>
        </w:tc>
      </w:tr>
      <w:tr w14:paraId="5BC46019">
        <w:tblPrEx>
          <w:tblCellMar>
            <w:top w:w="0" w:type="dxa"/>
            <w:left w:w="108" w:type="dxa"/>
            <w:bottom w:w="0" w:type="dxa"/>
            <w:right w:w="108" w:type="dxa"/>
          </w:tblCellMar>
        </w:tblPrEx>
        <w:trPr>
          <w:wBefore w:w="0" w:type="auto"/>
        </w:trPr>
        <w:tc>
          <w:tcPr>
            <w:tcW w:w="4167" w:type="dxa"/>
            <w:tcBorders>
              <w:top w:val="nil"/>
              <w:left w:val="nil"/>
              <w:bottom w:val="nil"/>
              <w:right w:val="nil"/>
            </w:tcBorders>
            <w:shd w:val="clear" w:color="auto" w:fill="FFFFFF"/>
            <w:tcMar>
              <w:top w:w="0" w:type="dxa"/>
              <w:left w:w="0" w:type="dxa"/>
              <w:bottom w:w="0" w:type="dxa"/>
              <w:right w:w="0" w:type="dxa"/>
            </w:tcMar>
            <w:vAlign w:val="center"/>
          </w:tcPr>
          <w:p w14:paraId="4BCC0B8E">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Cs/>
                <w:color w:val="000000"/>
                <w:sz w:val="22"/>
                <w:szCs w:val="22"/>
              </w:rPr>
            </w:pPr>
            <w:r>
              <w:rPr>
                <w:rFonts w:ascii="Times New Roman" w:hAnsi="Times New Roman" w:eastAsia="Arial" w:cs="Times New Roman"/>
                <w:bCs/>
                <w:color w:val="000000"/>
                <w:sz w:val="22"/>
                <w:szCs w:val="22"/>
              </w:rPr>
              <w:t>Large for gestational age</w:t>
            </w:r>
          </w:p>
        </w:tc>
        <w:tc>
          <w:tcPr>
            <w:tcW w:w="1780" w:type="dxa"/>
            <w:tcBorders>
              <w:top w:val="nil"/>
              <w:left w:val="nil"/>
              <w:bottom w:val="nil"/>
              <w:right w:val="nil"/>
            </w:tcBorders>
            <w:shd w:val="clear" w:color="auto" w:fill="FFFFFF"/>
            <w:tcMar>
              <w:top w:w="0" w:type="dxa"/>
              <w:left w:w="0" w:type="dxa"/>
              <w:bottom w:w="0" w:type="dxa"/>
              <w:right w:w="0" w:type="dxa"/>
            </w:tcMar>
            <w:vAlign w:val="center"/>
          </w:tcPr>
          <w:p w14:paraId="6DE42BD0">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172 (8.98%)</w:t>
            </w:r>
          </w:p>
        </w:tc>
        <w:tc>
          <w:tcPr>
            <w:tcW w:w="2382" w:type="dxa"/>
            <w:tcBorders>
              <w:top w:val="nil"/>
              <w:left w:val="nil"/>
              <w:bottom w:val="nil"/>
              <w:right w:val="nil"/>
            </w:tcBorders>
            <w:shd w:val="clear" w:color="auto" w:fill="FFFFFF"/>
            <w:tcMar>
              <w:top w:w="0" w:type="dxa"/>
              <w:left w:w="0" w:type="dxa"/>
              <w:bottom w:w="0" w:type="dxa"/>
              <w:right w:w="0" w:type="dxa"/>
            </w:tcMar>
            <w:vAlign w:val="center"/>
          </w:tcPr>
          <w:p w14:paraId="6571B39C">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29 (4.53%)</w:t>
            </w:r>
          </w:p>
        </w:tc>
        <w:tc>
          <w:tcPr>
            <w:tcW w:w="2256" w:type="dxa"/>
            <w:tcBorders>
              <w:top w:val="nil"/>
              <w:left w:val="nil"/>
              <w:bottom w:val="nil"/>
              <w:right w:val="nil"/>
            </w:tcBorders>
            <w:shd w:val="clear" w:color="auto" w:fill="FFFFFF"/>
            <w:tcMar>
              <w:top w:w="0" w:type="dxa"/>
              <w:left w:w="0" w:type="dxa"/>
              <w:bottom w:w="0" w:type="dxa"/>
              <w:right w:w="0" w:type="dxa"/>
            </w:tcMar>
            <w:vAlign w:val="center"/>
          </w:tcPr>
          <w:p w14:paraId="56045AFC">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71 (7.35%)</w:t>
            </w:r>
          </w:p>
        </w:tc>
        <w:tc>
          <w:tcPr>
            <w:tcW w:w="2304" w:type="dxa"/>
            <w:tcBorders>
              <w:top w:val="nil"/>
              <w:left w:val="nil"/>
              <w:bottom w:val="nil"/>
              <w:right w:val="nil"/>
            </w:tcBorders>
            <w:shd w:val="clear" w:color="auto" w:fill="FFFFFF"/>
            <w:tcMar>
              <w:top w:w="0" w:type="dxa"/>
              <w:left w:w="0" w:type="dxa"/>
              <w:bottom w:w="0" w:type="dxa"/>
              <w:right w:w="0" w:type="dxa"/>
            </w:tcMar>
            <w:vAlign w:val="center"/>
          </w:tcPr>
          <w:p w14:paraId="0023644C">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72 (23.23%)</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68CB568D">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&lt;0.001</w:t>
            </w:r>
          </w:p>
        </w:tc>
      </w:tr>
      <w:tr w14:paraId="191BD650">
        <w:tblPrEx>
          <w:tblCellMar>
            <w:top w:w="0" w:type="dxa"/>
            <w:left w:w="108" w:type="dxa"/>
            <w:bottom w:w="0" w:type="dxa"/>
            <w:right w:w="108" w:type="dxa"/>
          </w:tblCellMar>
        </w:tblPrEx>
        <w:trPr>
          <w:wBefore w:w="0" w:type="auto"/>
        </w:trPr>
        <w:tc>
          <w:tcPr>
            <w:tcW w:w="4167" w:type="dxa"/>
            <w:tcBorders>
              <w:top w:val="nil"/>
              <w:left w:val="nil"/>
              <w:bottom w:val="nil"/>
              <w:right w:val="nil"/>
            </w:tcBorders>
            <w:shd w:val="clear" w:color="auto" w:fill="FFFFFF"/>
            <w:tcMar>
              <w:top w:w="0" w:type="dxa"/>
              <w:left w:w="0" w:type="dxa"/>
              <w:bottom w:w="0" w:type="dxa"/>
              <w:right w:w="0" w:type="dxa"/>
            </w:tcMar>
            <w:vAlign w:val="center"/>
          </w:tcPr>
          <w:p w14:paraId="17A7977F">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Cs/>
                <w:color w:val="000000"/>
                <w:sz w:val="22"/>
                <w:szCs w:val="22"/>
              </w:rPr>
            </w:pPr>
            <w:r>
              <w:rPr>
                <w:rFonts w:ascii="Times New Roman" w:hAnsi="Times New Roman" w:eastAsia="Arial" w:cs="Times New Roman"/>
                <w:bCs/>
                <w:color w:val="000000"/>
                <w:sz w:val="22"/>
                <w:szCs w:val="22"/>
              </w:rPr>
              <w:t>Neonatal hypoglycemia</w:t>
            </w:r>
          </w:p>
        </w:tc>
        <w:tc>
          <w:tcPr>
            <w:tcW w:w="1780" w:type="dxa"/>
            <w:tcBorders>
              <w:top w:val="nil"/>
              <w:left w:val="nil"/>
              <w:bottom w:val="nil"/>
              <w:right w:val="nil"/>
            </w:tcBorders>
            <w:shd w:val="clear" w:color="auto" w:fill="FFFFFF"/>
            <w:tcMar>
              <w:top w:w="0" w:type="dxa"/>
              <w:left w:w="0" w:type="dxa"/>
              <w:bottom w:w="0" w:type="dxa"/>
              <w:right w:w="0" w:type="dxa"/>
            </w:tcMar>
            <w:vAlign w:val="center"/>
          </w:tcPr>
          <w:p w14:paraId="136B92A5">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145 (7.57%)</w:t>
            </w:r>
          </w:p>
        </w:tc>
        <w:tc>
          <w:tcPr>
            <w:tcW w:w="2382" w:type="dxa"/>
            <w:tcBorders>
              <w:top w:val="nil"/>
              <w:left w:val="nil"/>
              <w:bottom w:val="nil"/>
              <w:right w:val="nil"/>
            </w:tcBorders>
            <w:shd w:val="clear" w:color="auto" w:fill="FFFFFF"/>
            <w:tcMar>
              <w:top w:w="0" w:type="dxa"/>
              <w:left w:w="0" w:type="dxa"/>
              <w:bottom w:w="0" w:type="dxa"/>
              <w:right w:w="0" w:type="dxa"/>
            </w:tcMar>
            <w:vAlign w:val="center"/>
          </w:tcPr>
          <w:p w14:paraId="20E57D90">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27 (4.22%)</w:t>
            </w:r>
          </w:p>
        </w:tc>
        <w:tc>
          <w:tcPr>
            <w:tcW w:w="2256" w:type="dxa"/>
            <w:tcBorders>
              <w:top w:val="nil"/>
              <w:left w:val="nil"/>
              <w:bottom w:val="nil"/>
              <w:right w:val="nil"/>
            </w:tcBorders>
            <w:shd w:val="clear" w:color="auto" w:fill="FFFFFF"/>
            <w:tcMar>
              <w:top w:w="0" w:type="dxa"/>
              <w:left w:w="0" w:type="dxa"/>
              <w:bottom w:w="0" w:type="dxa"/>
              <w:right w:w="0" w:type="dxa"/>
            </w:tcMar>
            <w:vAlign w:val="center"/>
          </w:tcPr>
          <w:p w14:paraId="1F0ECAF1">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72 (7.45%)</w:t>
            </w:r>
          </w:p>
        </w:tc>
        <w:tc>
          <w:tcPr>
            <w:tcW w:w="2304" w:type="dxa"/>
            <w:tcBorders>
              <w:top w:val="nil"/>
              <w:left w:val="nil"/>
              <w:bottom w:val="nil"/>
              <w:right w:val="nil"/>
            </w:tcBorders>
            <w:shd w:val="clear" w:color="auto" w:fill="FFFFFF"/>
            <w:tcMar>
              <w:top w:w="0" w:type="dxa"/>
              <w:left w:w="0" w:type="dxa"/>
              <w:bottom w:w="0" w:type="dxa"/>
              <w:right w:w="0" w:type="dxa"/>
            </w:tcMar>
            <w:vAlign w:val="center"/>
          </w:tcPr>
          <w:p w14:paraId="158C39EC">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46 (14.84%)</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3F96D951">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&lt;0.001</w:t>
            </w:r>
          </w:p>
        </w:tc>
      </w:tr>
      <w:tr w14:paraId="5A69F9D5">
        <w:tblPrEx>
          <w:tblCellMar>
            <w:top w:w="0" w:type="dxa"/>
            <w:left w:w="108" w:type="dxa"/>
            <w:bottom w:w="0" w:type="dxa"/>
            <w:right w:w="108" w:type="dxa"/>
          </w:tblCellMar>
        </w:tblPrEx>
        <w:trPr>
          <w:wBefore w:w="0" w:type="auto"/>
        </w:trPr>
        <w:tc>
          <w:tcPr>
            <w:tcW w:w="4167"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5BF98564">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Cs/>
                <w:color w:val="000000"/>
                <w:sz w:val="22"/>
                <w:szCs w:val="22"/>
              </w:rPr>
            </w:pPr>
            <w:r>
              <w:rPr>
                <w:rFonts w:ascii="Times New Roman" w:hAnsi="Times New Roman" w:eastAsia="Arial" w:cs="Times New Roman"/>
                <w:bCs/>
                <w:color w:val="000000"/>
                <w:sz w:val="22"/>
                <w:szCs w:val="22"/>
              </w:rPr>
              <w:t>NICU admission</w:t>
            </w:r>
          </w:p>
        </w:tc>
        <w:tc>
          <w:tcPr>
            <w:tcW w:w="1780"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0E7F2E5D">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240</w:t>
            </w:r>
            <w:r>
              <w:rPr>
                <w:rFonts w:ascii="Times New Roman" w:hAnsi="Times New Roman" w:eastAsia="Arial" w:cs="Times New Roman"/>
                <w:color w:val="000000"/>
                <w:sz w:val="22"/>
                <w:szCs w:val="22"/>
              </w:rPr>
              <w:t xml:space="preserve"> (</w:t>
            </w:r>
            <w:r>
              <w:rPr>
                <w:rFonts w:hint="eastAsia" w:ascii="Times New Roman" w:hAnsi="Times New Roman" w:eastAsia="宋体" w:cs="Times New Roman"/>
                <w:color w:val="000000"/>
                <w:sz w:val="22"/>
                <w:szCs w:val="22"/>
              </w:rPr>
              <w:t>12.53</w:t>
            </w:r>
            <w:r>
              <w:rPr>
                <w:rFonts w:ascii="Times New Roman" w:hAnsi="Times New Roman" w:eastAsia="Arial" w:cs="Times New Roman"/>
                <w:color w:val="000000"/>
                <w:sz w:val="22"/>
                <w:szCs w:val="22"/>
              </w:rPr>
              <w:t>%)</w:t>
            </w:r>
          </w:p>
        </w:tc>
        <w:tc>
          <w:tcPr>
            <w:tcW w:w="2382"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402261E1">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74</w:t>
            </w:r>
            <w:r>
              <w:rPr>
                <w:rFonts w:ascii="Times New Roman" w:hAnsi="Times New Roman" w:eastAsia="Arial" w:cs="Times New Roman"/>
                <w:color w:val="000000"/>
                <w:sz w:val="22"/>
                <w:szCs w:val="22"/>
              </w:rPr>
              <w:t xml:space="preserve"> (</w:t>
            </w:r>
            <w:r>
              <w:rPr>
                <w:rFonts w:hint="eastAsia" w:ascii="Times New Roman" w:hAnsi="Times New Roman" w:eastAsia="宋体" w:cs="Times New Roman"/>
                <w:color w:val="000000"/>
                <w:sz w:val="22"/>
                <w:szCs w:val="22"/>
              </w:rPr>
              <w:t>11.56</w:t>
            </w:r>
            <w:r>
              <w:rPr>
                <w:rFonts w:ascii="Times New Roman" w:hAnsi="Times New Roman" w:eastAsia="Arial" w:cs="Times New Roman"/>
                <w:color w:val="000000"/>
                <w:sz w:val="22"/>
                <w:szCs w:val="22"/>
              </w:rPr>
              <w:t>%)</w:t>
            </w:r>
          </w:p>
        </w:tc>
        <w:tc>
          <w:tcPr>
            <w:tcW w:w="2256"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0211C225">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116</w:t>
            </w:r>
            <w:r>
              <w:rPr>
                <w:rFonts w:ascii="Times New Roman" w:hAnsi="Times New Roman" w:eastAsia="Arial" w:cs="Times New Roman"/>
                <w:color w:val="000000"/>
                <w:sz w:val="22"/>
                <w:szCs w:val="22"/>
              </w:rPr>
              <w:t xml:space="preserve"> (</w:t>
            </w:r>
            <w:r>
              <w:rPr>
                <w:rFonts w:hint="eastAsia" w:ascii="Times New Roman" w:hAnsi="Times New Roman" w:eastAsia="宋体" w:cs="Times New Roman"/>
                <w:color w:val="000000"/>
                <w:sz w:val="22"/>
                <w:szCs w:val="22"/>
              </w:rPr>
              <w:t>12.01</w:t>
            </w:r>
            <w:r>
              <w:rPr>
                <w:rFonts w:ascii="Times New Roman" w:hAnsi="Times New Roman" w:eastAsia="Arial" w:cs="Times New Roman"/>
                <w:color w:val="000000"/>
                <w:sz w:val="22"/>
                <w:szCs w:val="22"/>
              </w:rPr>
              <w:t>%)</w:t>
            </w:r>
          </w:p>
        </w:tc>
        <w:tc>
          <w:tcPr>
            <w:tcW w:w="2304"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7E51AAE7">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50</w:t>
            </w:r>
            <w:r>
              <w:rPr>
                <w:rFonts w:ascii="Times New Roman" w:hAnsi="Times New Roman" w:eastAsia="Arial" w:cs="Times New Roman"/>
                <w:color w:val="000000"/>
                <w:sz w:val="22"/>
                <w:szCs w:val="22"/>
              </w:rPr>
              <w:t xml:space="preserve"> (</w:t>
            </w:r>
            <w:r>
              <w:rPr>
                <w:rFonts w:hint="eastAsia" w:ascii="Times New Roman" w:hAnsi="Times New Roman" w:eastAsia="宋体" w:cs="Times New Roman"/>
                <w:color w:val="000000"/>
                <w:sz w:val="22"/>
                <w:szCs w:val="22"/>
              </w:rPr>
              <w:t>16.13</w:t>
            </w:r>
            <w:r>
              <w:rPr>
                <w:rFonts w:ascii="Times New Roman" w:hAnsi="Times New Roman" w:eastAsia="Arial" w:cs="Times New Roman"/>
                <w:color w:val="000000"/>
                <w:sz w:val="22"/>
                <w:szCs w:val="22"/>
              </w:rPr>
              <w:t>%)</w:t>
            </w:r>
          </w:p>
        </w:tc>
        <w:tc>
          <w:tcPr>
            <w:tcW w:w="1440"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1E16593B">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0.108</w:t>
            </w:r>
          </w:p>
        </w:tc>
      </w:tr>
      <w:tr w14:paraId="6DC368D4">
        <w:tblPrEx>
          <w:tblCellMar>
            <w:top w:w="0" w:type="dxa"/>
            <w:left w:w="108" w:type="dxa"/>
            <w:bottom w:w="0" w:type="dxa"/>
            <w:right w:w="108" w:type="dxa"/>
          </w:tblCellMar>
        </w:tblPrEx>
        <w:trPr>
          <w:wAfter w:w="0" w:type="auto"/>
          <w:trHeight w:val="23" w:hRule="atLeast"/>
          <w:tblHeader/>
          <w:jc w:val="center"/>
        </w:trPr>
        <w:tc>
          <w:tcPr>
            <w:tcW w:w="14329" w:type="dxa"/>
            <w:gridSpan w:val="6"/>
            <w:tcBorders>
              <w:top w:val="single" w:color="666666" w:sz="12" w:space="0"/>
              <w:left w:val="nil"/>
              <w:bottom w:val="nil"/>
              <w:right w:val="nil"/>
            </w:tcBorders>
            <w:shd w:val="clear" w:color="auto" w:fill="FFFFFF"/>
            <w:tcMar>
              <w:top w:w="0" w:type="dxa"/>
              <w:left w:w="0" w:type="dxa"/>
              <w:bottom w:w="0" w:type="dxa"/>
              <w:right w:w="0" w:type="dxa"/>
            </w:tcMar>
            <w:vAlign w:val="center"/>
          </w:tcPr>
          <w:p w14:paraId="22BA554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 xml:space="preserve">Abbreviations: GWG, gestational weight gain; </w:t>
            </w:r>
            <w:r>
              <w:rPr>
                <w:rFonts w:hint="eastAsia" w:ascii="Times New Roman" w:hAnsi="Times New Roman" w:eastAsia="Arial" w:cs="Times New Roman"/>
                <w:color w:val="000000"/>
                <w:sz w:val="22"/>
                <w:szCs w:val="22"/>
              </w:rPr>
              <w:t>NICU,</w:t>
            </w:r>
            <w:r>
              <w:rPr>
                <w:rFonts w:ascii="Times New Roman" w:hAnsi="Times New Roman" w:eastAsia="Arial" w:cs="Times New Roman"/>
                <w:color w:val="000000"/>
                <w:sz w:val="22"/>
                <w:szCs w:val="22"/>
              </w:rPr>
              <w:t xml:space="preserve"> neonatal intensive care unit</w:t>
            </w:r>
            <w:r>
              <w:rPr>
                <w:rFonts w:hint="eastAsia" w:ascii="Times New Roman" w:hAnsi="Times New Roman" w:eastAsia="Arial" w:cs="Times New Roman"/>
                <w:color w:val="000000"/>
                <w:sz w:val="22"/>
                <w:szCs w:val="22"/>
              </w:rPr>
              <w:t>.</w:t>
            </w:r>
          </w:p>
        </w:tc>
      </w:tr>
      <w:tr w14:paraId="70730EEA">
        <w:tblPrEx>
          <w:tblCellMar>
            <w:top w:w="0" w:type="dxa"/>
            <w:left w:w="108" w:type="dxa"/>
            <w:bottom w:w="0" w:type="dxa"/>
            <w:right w:w="108" w:type="dxa"/>
          </w:tblCellMar>
        </w:tblPrEx>
        <w:trPr>
          <w:wAfter w:w="0" w:type="auto"/>
          <w:trHeight w:val="23" w:hRule="atLeast"/>
          <w:tblHeader/>
          <w:jc w:val="center"/>
        </w:trPr>
        <w:tc>
          <w:tcPr>
            <w:tcW w:w="14329" w:type="dxa"/>
            <w:gridSpan w:val="6"/>
            <w:tcBorders>
              <w:top w:val="nil"/>
              <w:left w:val="nil"/>
              <w:bottom w:val="nil"/>
              <w:right w:val="nil"/>
            </w:tcBorders>
            <w:shd w:val="clear" w:color="auto" w:fill="FFFFFF"/>
            <w:tcMar>
              <w:top w:w="0" w:type="dxa"/>
              <w:left w:w="0" w:type="dxa"/>
              <w:bottom w:w="0" w:type="dxa"/>
              <w:right w:w="0" w:type="dxa"/>
            </w:tcMar>
            <w:vAlign w:val="center"/>
          </w:tcPr>
          <w:p w14:paraId="662EC7C9">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Data are presented as n (%). P values were calculated using chi-square tests across GWG trajectory groups. The composite adverse neonatal outcome was defined as the occurrence of any of the following: preterm birth, large-for-gestational-age birth, neonatal hypoglycemia, or NICU admission.</w:t>
            </w:r>
          </w:p>
        </w:tc>
      </w:tr>
    </w:tbl>
    <w:p w14:paraId="2EA25292">
      <w:pPr>
        <w:rPr>
          <w:rFonts w:ascii="Times New Roman" w:hAnsi="Times New Roman" w:cs="Times New Roman"/>
          <w:b/>
          <w:bCs/>
          <w:color w:val="000000" w:themeColor="text1"/>
          <w:sz w:val="24"/>
          <w14:textFill>
            <w14:solidFill>
              <w14:schemeClr w14:val="tx1"/>
            </w14:solidFill>
          </w14:textFill>
          <w14:ligatures w14:val="standardContextual"/>
        </w:rPr>
      </w:pPr>
      <w:r>
        <w:rPr>
          <w:rFonts w:ascii="Times New Roman" w:hAnsi="Times New Roman" w:cs="Times New Roman"/>
          <w:b/>
          <w:bCs/>
          <w:color w:val="000000" w:themeColor="text1"/>
          <w:sz w:val="24"/>
          <w14:textFill>
            <w14:solidFill>
              <w14:schemeClr w14:val="tx1"/>
            </w14:solidFill>
          </w14:textFill>
          <w14:ligatures w14:val="standardContextual"/>
        </w:rPr>
        <w:br w:type="page"/>
      </w:r>
    </w:p>
    <w:p w14:paraId="24467DFD">
      <w:pPr>
        <w:pStyle w:val="4"/>
        <w:keepNext/>
        <w:pBdr>
          <w:top w:val="none" w:color="000000" w:sz="0" w:space="0"/>
          <w:left w:val="none" w:color="000000" w:sz="0" w:space="0"/>
          <w:bottom w:val="none" w:color="000000" w:sz="0" w:space="0"/>
          <w:right w:val="none" w:color="000000" w:sz="0" w:space="0"/>
        </w:pBdr>
        <w:spacing w:before="60" w:after="60"/>
        <w:ind w:right="60"/>
        <w:jc w:val="both"/>
        <w:rPr>
          <w:rFonts w:ascii="Times New Roman" w:hAnsi="Times New Roman" w:cs="Times New Roman"/>
          <w:i w:val="0"/>
          <w:iCs/>
          <w:sz w:val="24"/>
        </w:rPr>
      </w:pPr>
      <w:r>
        <w:rPr>
          <w:rFonts w:ascii="Times New Roman" w:hAnsi="Times New Roman" w:cs="Times New Roman"/>
          <w:i w:val="0"/>
          <w:iCs/>
          <w:sz w:val="24"/>
        </w:rPr>
        <w:t>Supplementary Table S3. BMI-stratified mediation analyses of GWG trajectories</w:t>
      </w:r>
    </w:p>
    <w:tbl>
      <w:tblPr>
        <w:tblStyle w:val="2"/>
        <w:tblW w:w="0" w:type="auto"/>
        <w:jc w:val="center"/>
        <w:tblLayout w:type="fixed"/>
        <w:tblCellMar>
          <w:top w:w="0" w:type="dxa"/>
          <w:left w:w="108" w:type="dxa"/>
          <w:bottom w:w="0" w:type="dxa"/>
          <w:right w:w="108" w:type="dxa"/>
        </w:tblCellMar>
      </w:tblPr>
      <w:tblGrid>
        <w:gridCol w:w="1800"/>
        <w:gridCol w:w="2100"/>
        <w:gridCol w:w="4245"/>
        <w:gridCol w:w="1590"/>
        <w:gridCol w:w="2295"/>
        <w:gridCol w:w="1739"/>
      </w:tblGrid>
      <w:tr w14:paraId="16985DF1">
        <w:trPr>
          <w:tblHeader/>
          <w:jc w:val="center"/>
        </w:trPr>
        <w:tc>
          <w:tcPr>
            <w:tcW w:w="1800"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F5C094F">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BMI subgroup</w:t>
            </w:r>
          </w:p>
        </w:tc>
        <w:tc>
          <w:tcPr>
            <w:tcW w:w="2100"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8DDF09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Exposure comparison</w:t>
            </w:r>
          </w:p>
        </w:tc>
        <w:tc>
          <w:tcPr>
            <w:tcW w:w="4245"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563C95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Effect</w:t>
            </w:r>
          </w:p>
        </w:tc>
        <w:tc>
          <w:tcPr>
            <w:tcW w:w="1590"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02FEB71">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Estimate</w:t>
            </w:r>
          </w:p>
        </w:tc>
        <w:tc>
          <w:tcPr>
            <w:tcW w:w="2295"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96829EA">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95% CI</w:t>
            </w:r>
          </w:p>
        </w:tc>
        <w:tc>
          <w:tcPr>
            <w:tcW w:w="1739"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C1CC403">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P value</w:t>
            </w:r>
          </w:p>
        </w:tc>
      </w:tr>
      <w:tr w14:paraId="78E56E93">
        <w:tblPrEx>
          <w:tblCellMar>
            <w:top w:w="0" w:type="dxa"/>
            <w:left w:w="108" w:type="dxa"/>
            <w:bottom w:w="0" w:type="dxa"/>
            <w:right w:w="108" w:type="dxa"/>
          </w:tblCellMar>
        </w:tblPrEx>
        <w:trPr>
          <w:trHeight w:val="302" w:hRule="atLeast"/>
          <w:jc w:val="center"/>
        </w:trPr>
        <w:tc>
          <w:tcPr>
            <w:tcW w:w="1800" w:type="dxa"/>
            <w:vMerge w:val="restart"/>
            <w:tcBorders>
              <w:top w:val="single" w:color="666666" w:sz="12" w:space="0"/>
              <w:left w:val="nil"/>
              <w:bottom w:val="nil"/>
              <w:right w:val="nil"/>
            </w:tcBorders>
            <w:shd w:val="clear" w:color="auto" w:fill="FFFFFF"/>
            <w:tcMar>
              <w:top w:w="0" w:type="dxa"/>
              <w:left w:w="0" w:type="dxa"/>
              <w:bottom w:w="0" w:type="dxa"/>
              <w:right w:w="0" w:type="dxa"/>
            </w:tcMar>
          </w:tcPr>
          <w:p w14:paraId="6E589887">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BMI &lt;</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24.0 kg/m²</w:t>
            </w:r>
          </w:p>
        </w:tc>
        <w:tc>
          <w:tcPr>
            <w:tcW w:w="2100" w:type="dxa"/>
            <w:vMerge w:val="restart"/>
            <w:tcBorders>
              <w:top w:val="single" w:color="666666" w:sz="12" w:space="0"/>
              <w:left w:val="nil"/>
              <w:bottom w:val="nil"/>
              <w:right w:val="nil"/>
            </w:tcBorders>
            <w:shd w:val="clear" w:color="auto" w:fill="FFFFFF"/>
            <w:tcMar>
              <w:top w:w="0" w:type="dxa"/>
              <w:left w:w="0" w:type="dxa"/>
              <w:bottom w:w="0" w:type="dxa"/>
              <w:right w:w="0" w:type="dxa"/>
            </w:tcMar>
          </w:tcPr>
          <w:p w14:paraId="57E052C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 xml:space="preserve">Disadvantaged </w:t>
            </w:r>
            <w:r>
              <w:rPr>
                <w:rFonts w:ascii="Times New Roman" w:hAnsi="Times New Roman" w:eastAsia="Arial" w:cs="Times New Roman"/>
                <w:color w:val="000000"/>
                <w:sz w:val="22"/>
                <w:szCs w:val="22"/>
              </w:rPr>
              <w:t xml:space="preserve">vs </w:t>
            </w:r>
            <w:r>
              <w:rPr>
                <w:rFonts w:hint="eastAsia" w:ascii="Times New Roman" w:hAnsi="Times New Roman" w:eastAsia="宋体" w:cs="Times New Roman"/>
                <w:color w:val="000000"/>
                <w:sz w:val="22"/>
                <w:szCs w:val="22"/>
              </w:rPr>
              <w:t>Advantaged profile</w:t>
            </w:r>
          </w:p>
        </w:tc>
        <w:tc>
          <w:tcPr>
            <w:tcW w:w="4245"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53D561B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Total effect</w:t>
            </w:r>
          </w:p>
        </w:tc>
        <w:tc>
          <w:tcPr>
            <w:tcW w:w="1590"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3C12316C">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w:t>
            </w:r>
            <w:r>
              <w:rPr>
                <w:rFonts w:hint="eastAsia" w:ascii="Times New Roman" w:hAnsi="Times New Roman" w:eastAsia="宋体" w:cs="Times New Roman"/>
                <w:color w:val="000000"/>
                <w:sz w:val="22"/>
                <w:szCs w:val="22"/>
              </w:rPr>
              <w:t>121</w:t>
            </w:r>
          </w:p>
        </w:tc>
        <w:tc>
          <w:tcPr>
            <w:tcW w:w="2295"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20FEDFD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64</w:t>
            </w:r>
            <w:r>
              <w:rPr>
                <w:rFonts w:ascii="Times New Roman" w:hAnsi="Times New Roman" w:eastAsia="Arial" w:cs="Times New Roman"/>
                <w:color w:val="000000"/>
                <w:sz w:val="22"/>
                <w:szCs w:val="22"/>
              </w:rPr>
              <w:t>–0.1</w:t>
            </w:r>
            <w:r>
              <w:rPr>
                <w:rFonts w:hint="eastAsia" w:ascii="Times New Roman" w:hAnsi="Times New Roman" w:eastAsia="宋体" w:cs="Times New Roman"/>
                <w:color w:val="000000"/>
                <w:sz w:val="22"/>
                <w:szCs w:val="22"/>
              </w:rPr>
              <w:t>74</w:t>
            </w:r>
          </w:p>
        </w:tc>
        <w:tc>
          <w:tcPr>
            <w:tcW w:w="1739"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6CDD17C2">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0.001</w:t>
            </w:r>
          </w:p>
        </w:tc>
      </w:tr>
      <w:tr w14:paraId="0ED1FCE5">
        <w:tblPrEx>
          <w:tblCellMar>
            <w:top w:w="0" w:type="dxa"/>
            <w:left w:w="108" w:type="dxa"/>
            <w:bottom w:w="0" w:type="dxa"/>
            <w:right w:w="108" w:type="dxa"/>
          </w:tblCellMar>
        </w:tblPrEx>
        <w:trPr>
          <w:trHeight w:val="236" w:hRule="atLeast"/>
          <w:jc w:val="center"/>
        </w:trPr>
        <w:tc>
          <w:tcPr>
            <w:tcW w:w="1800" w:type="dxa"/>
            <w:vMerge w:val="continue"/>
            <w:tcBorders>
              <w:top w:val="nil"/>
              <w:left w:val="nil"/>
              <w:bottom w:val="nil"/>
              <w:right w:val="nil"/>
            </w:tcBorders>
            <w:shd w:val="clear" w:color="auto" w:fill="FFFFFF"/>
            <w:tcMar>
              <w:top w:w="0" w:type="dxa"/>
              <w:left w:w="0" w:type="dxa"/>
              <w:bottom w:w="0" w:type="dxa"/>
              <w:right w:w="0" w:type="dxa"/>
            </w:tcMar>
          </w:tcPr>
          <w:p w14:paraId="14CFFC69">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100" w:type="dxa"/>
            <w:vMerge w:val="continue"/>
            <w:tcBorders>
              <w:top w:val="nil"/>
              <w:left w:val="nil"/>
              <w:bottom w:val="nil"/>
              <w:right w:val="nil"/>
            </w:tcBorders>
            <w:shd w:val="clear" w:color="auto" w:fill="FFFFFF"/>
            <w:tcMar>
              <w:top w:w="0" w:type="dxa"/>
              <w:left w:w="0" w:type="dxa"/>
              <w:bottom w:w="0" w:type="dxa"/>
              <w:right w:w="0" w:type="dxa"/>
            </w:tcMar>
          </w:tcPr>
          <w:p w14:paraId="0A12F72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149F5C32">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Direct effect</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40A0AE46">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w:t>
            </w:r>
            <w:r>
              <w:rPr>
                <w:rFonts w:hint="eastAsia" w:ascii="Times New Roman" w:hAnsi="Times New Roman" w:eastAsia="宋体" w:cs="Times New Roman"/>
                <w:color w:val="000000"/>
                <w:sz w:val="22"/>
                <w:szCs w:val="22"/>
              </w:rPr>
              <w:t>095</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6F4A9189">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0.03</w:t>
            </w:r>
            <w:r>
              <w:rPr>
                <w:rFonts w:hint="eastAsia" w:ascii="Times New Roman" w:hAnsi="Times New Roman" w:eastAsia="宋体" w:cs="Times New Roman"/>
                <w:color w:val="000000"/>
                <w:sz w:val="22"/>
                <w:szCs w:val="22"/>
              </w:rPr>
              <w:t>8</w:t>
            </w:r>
            <w:r>
              <w:rPr>
                <w:rFonts w:ascii="Times New Roman" w:hAnsi="Times New Roman" w:eastAsia="Arial" w:cs="Times New Roman"/>
                <w:color w:val="000000"/>
                <w:sz w:val="22"/>
                <w:szCs w:val="22"/>
              </w:rPr>
              <w:t>–0.1</w:t>
            </w:r>
            <w:r>
              <w:rPr>
                <w:rFonts w:hint="eastAsia" w:ascii="Times New Roman" w:hAnsi="Times New Roman" w:eastAsia="宋体" w:cs="Times New Roman"/>
                <w:color w:val="000000"/>
                <w:sz w:val="22"/>
                <w:szCs w:val="22"/>
              </w:rPr>
              <w:t>51</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1ABE3A5F">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0.002</w:t>
            </w:r>
          </w:p>
        </w:tc>
      </w:tr>
      <w:tr w14:paraId="73233B21">
        <w:tblPrEx>
          <w:tblCellMar>
            <w:top w:w="0" w:type="dxa"/>
            <w:left w:w="108" w:type="dxa"/>
            <w:bottom w:w="0" w:type="dxa"/>
            <w:right w:w="108" w:type="dxa"/>
          </w:tblCellMar>
        </w:tblPrEx>
        <w:trPr>
          <w:jc w:val="center"/>
        </w:trPr>
        <w:tc>
          <w:tcPr>
            <w:tcW w:w="1800" w:type="dxa"/>
            <w:vMerge w:val="continue"/>
            <w:tcBorders>
              <w:top w:val="nil"/>
              <w:left w:val="nil"/>
              <w:bottom w:val="nil"/>
              <w:right w:val="nil"/>
            </w:tcBorders>
            <w:shd w:val="clear" w:color="auto" w:fill="FFFFFF"/>
            <w:tcMar>
              <w:top w:w="0" w:type="dxa"/>
              <w:left w:w="0" w:type="dxa"/>
              <w:bottom w:w="0" w:type="dxa"/>
              <w:right w:w="0" w:type="dxa"/>
            </w:tcMar>
          </w:tcPr>
          <w:p w14:paraId="28DFA16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100" w:type="dxa"/>
            <w:vMerge w:val="continue"/>
            <w:tcBorders>
              <w:top w:val="nil"/>
              <w:left w:val="nil"/>
              <w:bottom w:val="nil"/>
              <w:right w:val="nil"/>
            </w:tcBorders>
            <w:shd w:val="clear" w:color="auto" w:fill="FFFFFF"/>
            <w:tcMar>
              <w:top w:w="0" w:type="dxa"/>
              <w:left w:w="0" w:type="dxa"/>
              <w:bottom w:w="0" w:type="dxa"/>
              <w:right w:w="0" w:type="dxa"/>
            </w:tcMar>
          </w:tcPr>
          <w:p w14:paraId="263EC4F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51169FC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 xml:space="preserve">Indirect effect </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6BFB842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0.03</w:t>
            </w:r>
            <w:r>
              <w:rPr>
                <w:rFonts w:hint="eastAsia" w:ascii="Times New Roman" w:hAnsi="Times New Roman" w:eastAsia="宋体" w:cs="Times New Roman"/>
                <w:color w:val="000000"/>
                <w:sz w:val="22"/>
                <w:szCs w:val="22"/>
              </w:rPr>
              <w:t>2</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2B09D297">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0.01</w:t>
            </w:r>
            <w:r>
              <w:rPr>
                <w:rFonts w:hint="eastAsia" w:ascii="Times New Roman" w:hAnsi="Times New Roman" w:eastAsia="宋体" w:cs="Times New Roman"/>
                <w:color w:val="000000"/>
                <w:sz w:val="22"/>
                <w:szCs w:val="22"/>
              </w:rPr>
              <w:t>3</w:t>
            </w: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49</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32E0BF9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0.001</w:t>
            </w:r>
          </w:p>
        </w:tc>
      </w:tr>
      <w:tr w14:paraId="413E4AEA">
        <w:tblPrEx>
          <w:tblCellMar>
            <w:top w:w="0" w:type="dxa"/>
            <w:left w:w="108" w:type="dxa"/>
            <w:bottom w:w="0" w:type="dxa"/>
            <w:right w:w="108" w:type="dxa"/>
          </w:tblCellMar>
        </w:tblPrEx>
        <w:trPr>
          <w:jc w:val="center"/>
        </w:trPr>
        <w:tc>
          <w:tcPr>
            <w:tcW w:w="1800" w:type="dxa"/>
            <w:vMerge w:val="continue"/>
            <w:tcBorders>
              <w:top w:val="nil"/>
              <w:left w:val="nil"/>
              <w:bottom w:val="nil"/>
              <w:right w:val="nil"/>
            </w:tcBorders>
            <w:shd w:val="clear" w:color="auto" w:fill="FFFFFF"/>
            <w:tcMar>
              <w:top w:w="0" w:type="dxa"/>
              <w:left w:w="0" w:type="dxa"/>
              <w:bottom w:w="0" w:type="dxa"/>
              <w:right w:w="0" w:type="dxa"/>
            </w:tcMar>
          </w:tcPr>
          <w:p w14:paraId="29A0461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100" w:type="dxa"/>
            <w:vMerge w:val="continue"/>
            <w:tcBorders>
              <w:top w:val="nil"/>
              <w:left w:val="nil"/>
              <w:bottom w:val="nil"/>
              <w:right w:val="nil"/>
            </w:tcBorders>
            <w:shd w:val="clear" w:color="auto" w:fill="FFFFFF"/>
            <w:tcMar>
              <w:top w:w="0" w:type="dxa"/>
              <w:left w:w="0" w:type="dxa"/>
              <w:bottom w:w="0" w:type="dxa"/>
              <w:right w:w="0" w:type="dxa"/>
            </w:tcMar>
          </w:tcPr>
          <w:p w14:paraId="04ACD55E">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75822CCB">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Proportion mediated</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1DFD6A0C">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2</w:t>
            </w:r>
            <w:r>
              <w:rPr>
                <w:rFonts w:hint="eastAsia" w:ascii="Times New Roman" w:hAnsi="Times New Roman" w:eastAsia="宋体" w:cs="Times New Roman"/>
                <w:color w:val="000000"/>
                <w:sz w:val="22"/>
                <w:szCs w:val="22"/>
              </w:rPr>
              <w:t>6.5</w:t>
            </w:r>
            <w:r>
              <w:rPr>
                <w:rFonts w:ascii="Times New Roman" w:hAnsi="Times New Roman" w:eastAsia="Arial" w:cs="Times New Roman"/>
                <w:color w:val="000000"/>
                <w:sz w:val="22"/>
                <w:szCs w:val="22"/>
              </w:rPr>
              <w:t>%</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1DDA236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10.</w:t>
            </w:r>
            <w:r>
              <w:rPr>
                <w:rFonts w:hint="eastAsia" w:ascii="Times New Roman" w:hAnsi="Times New Roman" w:eastAsia="宋体" w:cs="Times New Roman"/>
                <w:color w:val="000000"/>
                <w:sz w:val="22"/>
                <w:szCs w:val="22"/>
              </w:rPr>
              <w:t>8</w:t>
            </w:r>
            <w:r>
              <w:rPr>
                <w:rFonts w:ascii="Times New Roman" w:hAnsi="Times New Roman" w:eastAsia="Arial" w:cs="Times New Roman"/>
                <w:color w:val="000000"/>
                <w:sz w:val="22"/>
                <w:szCs w:val="22"/>
              </w:rPr>
              <w:t>%–4</w:t>
            </w:r>
            <w:r>
              <w:rPr>
                <w:rFonts w:hint="eastAsia" w:ascii="Times New Roman" w:hAnsi="Times New Roman" w:eastAsia="宋体" w:cs="Times New Roman"/>
                <w:color w:val="000000"/>
                <w:sz w:val="22"/>
                <w:szCs w:val="22"/>
              </w:rPr>
              <w:t>6.2</w:t>
            </w:r>
            <w:r>
              <w:rPr>
                <w:rFonts w:ascii="Times New Roman" w:hAnsi="Times New Roman" w:eastAsia="Arial" w:cs="Times New Roman"/>
                <w:color w:val="000000"/>
                <w:sz w:val="22"/>
                <w:szCs w:val="22"/>
              </w:rPr>
              <w:t>%</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548D067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0.001</w:t>
            </w:r>
          </w:p>
        </w:tc>
      </w:tr>
      <w:tr w14:paraId="0E001F28">
        <w:tblPrEx>
          <w:tblCellMar>
            <w:top w:w="0" w:type="dxa"/>
            <w:left w:w="108" w:type="dxa"/>
            <w:bottom w:w="0" w:type="dxa"/>
            <w:right w:w="108" w:type="dxa"/>
          </w:tblCellMar>
        </w:tblPrEx>
        <w:trPr>
          <w:jc w:val="center"/>
        </w:trPr>
        <w:tc>
          <w:tcPr>
            <w:tcW w:w="1800" w:type="dxa"/>
            <w:vMerge w:val="continue"/>
            <w:tcBorders>
              <w:top w:val="nil"/>
              <w:left w:val="nil"/>
              <w:bottom w:val="nil"/>
              <w:right w:val="nil"/>
            </w:tcBorders>
            <w:shd w:val="clear" w:color="auto" w:fill="FFFFFF"/>
            <w:tcMar>
              <w:top w:w="0" w:type="dxa"/>
              <w:left w:w="0" w:type="dxa"/>
              <w:bottom w:w="0" w:type="dxa"/>
              <w:right w:w="0" w:type="dxa"/>
            </w:tcMar>
          </w:tcPr>
          <w:p w14:paraId="0DCCCF9F">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100" w:type="dxa"/>
            <w:vMerge w:val="restart"/>
            <w:tcBorders>
              <w:top w:val="nil"/>
              <w:left w:val="nil"/>
              <w:bottom w:val="nil"/>
              <w:right w:val="nil"/>
            </w:tcBorders>
            <w:shd w:val="clear" w:color="auto" w:fill="FFFFFF"/>
            <w:tcMar>
              <w:top w:w="0" w:type="dxa"/>
              <w:left w:w="0" w:type="dxa"/>
              <w:bottom w:w="0" w:type="dxa"/>
              <w:right w:w="0" w:type="dxa"/>
            </w:tcMar>
          </w:tcPr>
          <w:p w14:paraId="0545CDB9">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Disadvantaged</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Intermediate profile</w:t>
            </w: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61F1E63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Total effect</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18195B5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w:t>
            </w:r>
            <w:r>
              <w:rPr>
                <w:rFonts w:hint="eastAsia" w:ascii="Times New Roman" w:hAnsi="Times New Roman" w:eastAsia="宋体" w:cs="Times New Roman"/>
                <w:color w:val="000000"/>
                <w:sz w:val="22"/>
                <w:szCs w:val="22"/>
              </w:rPr>
              <w:t>098</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1FD1FB83">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32</w:t>
            </w:r>
            <w:r>
              <w:rPr>
                <w:rFonts w:ascii="Times New Roman" w:hAnsi="Times New Roman" w:eastAsia="Arial" w:cs="Times New Roman"/>
                <w:color w:val="000000"/>
                <w:sz w:val="22"/>
                <w:szCs w:val="22"/>
              </w:rPr>
              <w:t>–0.1</w:t>
            </w:r>
            <w:r>
              <w:rPr>
                <w:rFonts w:hint="eastAsia" w:ascii="Times New Roman" w:hAnsi="Times New Roman" w:eastAsia="宋体" w:cs="Times New Roman"/>
                <w:color w:val="000000"/>
                <w:sz w:val="22"/>
                <w:szCs w:val="22"/>
              </w:rPr>
              <w:t>55</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55AAA170">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0.002</w:t>
            </w:r>
          </w:p>
        </w:tc>
      </w:tr>
      <w:tr w14:paraId="6671C5F5">
        <w:tblPrEx>
          <w:tblCellMar>
            <w:top w:w="0" w:type="dxa"/>
            <w:left w:w="108" w:type="dxa"/>
            <w:bottom w:w="0" w:type="dxa"/>
            <w:right w:w="108" w:type="dxa"/>
          </w:tblCellMar>
        </w:tblPrEx>
        <w:trPr>
          <w:jc w:val="center"/>
        </w:trPr>
        <w:tc>
          <w:tcPr>
            <w:tcW w:w="1800" w:type="dxa"/>
            <w:vMerge w:val="continue"/>
            <w:tcBorders>
              <w:top w:val="nil"/>
              <w:left w:val="nil"/>
              <w:bottom w:val="nil"/>
              <w:right w:val="nil"/>
            </w:tcBorders>
            <w:shd w:val="clear" w:color="auto" w:fill="FFFFFF"/>
            <w:tcMar>
              <w:top w:w="0" w:type="dxa"/>
              <w:left w:w="0" w:type="dxa"/>
              <w:bottom w:w="0" w:type="dxa"/>
              <w:right w:w="0" w:type="dxa"/>
            </w:tcMar>
          </w:tcPr>
          <w:p w14:paraId="35B7F05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100" w:type="dxa"/>
            <w:vMerge w:val="continue"/>
            <w:tcBorders>
              <w:top w:val="nil"/>
              <w:left w:val="nil"/>
              <w:bottom w:val="nil"/>
              <w:right w:val="nil"/>
            </w:tcBorders>
            <w:shd w:val="clear" w:color="auto" w:fill="FFFFFF"/>
            <w:tcMar>
              <w:top w:w="0" w:type="dxa"/>
              <w:left w:w="0" w:type="dxa"/>
              <w:bottom w:w="0" w:type="dxa"/>
              <w:right w:w="0" w:type="dxa"/>
            </w:tcMar>
          </w:tcPr>
          <w:p w14:paraId="6C8CE76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7496C03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Direct effect</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56592824">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80</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3565DA66">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21</w:t>
            </w:r>
            <w:r>
              <w:rPr>
                <w:rFonts w:ascii="Times New Roman" w:hAnsi="Times New Roman" w:eastAsia="Arial" w:cs="Times New Roman"/>
                <w:color w:val="000000"/>
                <w:sz w:val="22"/>
                <w:szCs w:val="22"/>
              </w:rPr>
              <w:t>–0.</w:t>
            </w:r>
            <w:r>
              <w:rPr>
                <w:rFonts w:hint="eastAsia" w:ascii="Times New Roman" w:hAnsi="Times New Roman" w:eastAsia="宋体" w:cs="Times New Roman"/>
                <w:color w:val="000000"/>
                <w:sz w:val="22"/>
                <w:szCs w:val="22"/>
              </w:rPr>
              <w:t>139</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1F78556C">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0.003</w:t>
            </w:r>
          </w:p>
        </w:tc>
      </w:tr>
      <w:tr w14:paraId="17C712EC">
        <w:tblPrEx>
          <w:tblCellMar>
            <w:top w:w="0" w:type="dxa"/>
            <w:left w:w="108" w:type="dxa"/>
            <w:bottom w:w="0" w:type="dxa"/>
            <w:right w:w="108" w:type="dxa"/>
          </w:tblCellMar>
        </w:tblPrEx>
        <w:trPr>
          <w:jc w:val="center"/>
        </w:trPr>
        <w:tc>
          <w:tcPr>
            <w:tcW w:w="1800" w:type="dxa"/>
            <w:vMerge w:val="continue"/>
            <w:tcBorders>
              <w:top w:val="nil"/>
              <w:left w:val="nil"/>
              <w:bottom w:val="nil"/>
              <w:right w:val="nil"/>
            </w:tcBorders>
            <w:shd w:val="clear" w:color="auto" w:fill="FFFFFF"/>
            <w:tcMar>
              <w:top w:w="0" w:type="dxa"/>
              <w:left w:w="0" w:type="dxa"/>
              <w:bottom w:w="0" w:type="dxa"/>
              <w:right w:w="0" w:type="dxa"/>
            </w:tcMar>
          </w:tcPr>
          <w:p w14:paraId="35C42AE9">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100" w:type="dxa"/>
            <w:vMerge w:val="continue"/>
            <w:tcBorders>
              <w:top w:val="nil"/>
              <w:left w:val="nil"/>
              <w:bottom w:val="nil"/>
              <w:right w:val="nil"/>
            </w:tcBorders>
            <w:shd w:val="clear" w:color="auto" w:fill="FFFFFF"/>
            <w:tcMar>
              <w:top w:w="0" w:type="dxa"/>
              <w:left w:w="0" w:type="dxa"/>
              <w:bottom w:w="0" w:type="dxa"/>
              <w:right w:w="0" w:type="dxa"/>
            </w:tcMar>
          </w:tcPr>
          <w:p w14:paraId="41AEFD7E">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713FA43C">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 xml:space="preserve">Indirect effect </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318C8D5B">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21</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7817A3C3">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0.002–0.0</w:t>
            </w:r>
            <w:r>
              <w:rPr>
                <w:rFonts w:hint="eastAsia" w:ascii="Times New Roman" w:hAnsi="Times New Roman" w:eastAsia="宋体" w:cs="Times New Roman"/>
                <w:color w:val="000000"/>
                <w:sz w:val="22"/>
                <w:szCs w:val="22"/>
              </w:rPr>
              <w:t>33</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3DF26986">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0.017</w:t>
            </w:r>
          </w:p>
        </w:tc>
      </w:tr>
      <w:tr w14:paraId="734D6AEE">
        <w:tblPrEx>
          <w:tblCellMar>
            <w:top w:w="0" w:type="dxa"/>
            <w:left w:w="108" w:type="dxa"/>
            <w:bottom w:w="0" w:type="dxa"/>
            <w:right w:w="108" w:type="dxa"/>
          </w:tblCellMar>
        </w:tblPrEx>
        <w:trPr>
          <w:trHeight w:val="416" w:hRule="atLeast"/>
          <w:jc w:val="center"/>
        </w:trPr>
        <w:tc>
          <w:tcPr>
            <w:tcW w:w="1800" w:type="dxa"/>
            <w:vMerge w:val="continue"/>
            <w:tcBorders>
              <w:top w:val="nil"/>
              <w:left w:val="nil"/>
              <w:bottom w:val="nil"/>
              <w:right w:val="nil"/>
            </w:tcBorders>
            <w:shd w:val="clear" w:color="auto" w:fill="FFFFFF"/>
            <w:tcMar>
              <w:top w:w="0" w:type="dxa"/>
              <w:left w:w="0" w:type="dxa"/>
              <w:bottom w:w="0" w:type="dxa"/>
              <w:right w:w="0" w:type="dxa"/>
            </w:tcMar>
          </w:tcPr>
          <w:p w14:paraId="4B2DA806">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100" w:type="dxa"/>
            <w:vMerge w:val="continue"/>
            <w:tcBorders>
              <w:top w:val="nil"/>
              <w:left w:val="nil"/>
              <w:bottom w:val="nil"/>
              <w:right w:val="nil"/>
            </w:tcBorders>
            <w:shd w:val="clear" w:color="auto" w:fill="FFFFFF"/>
            <w:tcMar>
              <w:top w:w="0" w:type="dxa"/>
              <w:left w:w="0" w:type="dxa"/>
              <w:bottom w:w="0" w:type="dxa"/>
              <w:right w:w="0" w:type="dxa"/>
            </w:tcMar>
          </w:tcPr>
          <w:p w14:paraId="3193C22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0C8D0394">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Proportion mediated</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18CF065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21</w:t>
            </w:r>
            <w:r>
              <w:rPr>
                <w:rFonts w:ascii="Times New Roman" w:hAnsi="Times New Roman" w:eastAsia="Arial" w:cs="Times New Roman"/>
                <w:color w:val="000000"/>
                <w:sz w:val="22"/>
                <w:szCs w:val="22"/>
              </w:rPr>
              <w:t>.8%</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59329BE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2.6</w:t>
            </w:r>
            <w:r>
              <w:rPr>
                <w:rFonts w:ascii="Times New Roman" w:hAnsi="Times New Roman" w:eastAsia="Arial" w:cs="Times New Roman"/>
                <w:color w:val="000000"/>
                <w:sz w:val="22"/>
                <w:szCs w:val="22"/>
              </w:rPr>
              <w:t>%–</w:t>
            </w:r>
            <w:r>
              <w:rPr>
                <w:rFonts w:hint="eastAsia" w:ascii="Times New Roman" w:hAnsi="Times New Roman" w:eastAsia="宋体" w:cs="Times New Roman"/>
                <w:color w:val="000000"/>
                <w:sz w:val="22"/>
                <w:szCs w:val="22"/>
              </w:rPr>
              <w:t>45.8</w:t>
            </w:r>
            <w:r>
              <w:rPr>
                <w:rFonts w:ascii="Times New Roman" w:hAnsi="Times New Roman" w:eastAsia="Arial" w:cs="Times New Roman"/>
                <w:color w:val="000000"/>
                <w:sz w:val="22"/>
                <w:szCs w:val="22"/>
              </w:rPr>
              <w:t>%</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0592FF0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0.019</w:t>
            </w:r>
          </w:p>
        </w:tc>
      </w:tr>
      <w:tr w14:paraId="5202BDE6">
        <w:tblPrEx>
          <w:tblCellMar>
            <w:top w:w="0" w:type="dxa"/>
            <w:left w:w="108" w:type="dxa"/>
            <w:bottom w:w="0" w:type="dxa"/>
            <w:right w:w="108" w:type="dxa"/>
          </w:tblCellMar>
        </w:tblPrEx>
        <w:trPr>
          <w:jc w:val="center"/>
        </w:trPr>
        <w:tc>
          <w:tcPr>
            <w:tcW w:w="1800" w:type="dxa"/>
            <w:vMerge w:val="restart"/>
            <w:tcBorders>
              <w:top w:val="nil"/>
              <w:left w:val="nil"/>
              <w:bottom w:val="single" w:color="666666" w:sz="12" w:space="0"/>
              <w:right w:val="nil"/>
            </w:tcBorders>
            <w:shd w:val="clear" w:color="auto" w:fill="FFFFFF"/>
            <w:tcMar>
              <w:top w:w="0" w:type="dxa"/>
              <w:left w:w="0" w:type="dxa"/>
              <w:bottom w:w="0" w:type="dxa"/>
              <w:right w:w="0" w:type="dxa"/>
            </w:tcMar>
          </w:tcPr>
          <w:p w14:paraId="7C0C14AF">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BMI ≥</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24.0 kg/m²</w:t>
            </w:r>
          </w:p>
        </w:tc>
        <w:tc>
          <w:tcPr>
            <w:tcW w:w="2100" w:type="dxa"/>
            <w:vMerge w:val="restart"/>
            <w:tcBorders>
              <w:top w:val="nil"/>
              <w:left w:val="nil"/>
              <w:bottom w:val="nil"/>
              <w:right w:val="nil"/>
            </w:tcBorders>
            <w:shd w:val="clear" w:color="auto" w:fill="FFFFFF"/>
            <w:tcMar>
              <w:top w:w="0" w:type="dxa"/>
              <w:left w:w="0" w:type="dxa"/>
              <w:bottom w:w="0" w:type="dxa"/>
              <w:right w:w="0" w:type="dxa"/>
            </w:tcMar>
          </w:tcPr>
          <w:p w14:paraId="768270E3">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Disadvantaged</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Advantaged profile</w:t>
            </w: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0531A34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Total effect</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5C51F3DF">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87</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4F058F5F">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15</w:t>
            </w:r>
            <w:r>
              <w:rPr>
                <w:rFonts w:ascii="Times New Roman" w:hAnsi="Times New Roman" w:eastAsia="Arial" w:cs="Times New Roman"/>
                <w:color w:val="000000"/>
                <w:sz w:val="22"/>
                <w:szCs w:val="22"/>
              </w:rPr>
              <w:t>–0.1</w:t>
            </w:r>
            <w:r>
              <w:rPr>
                <w:rFonts w:hint="eastAsia" w:ascii="Times New Roman" w:hAnsi="Times New Roman" w:eastAsia="宋体" w:cs="Times New Roman"/>
                <w:color w:val="000000"/>
                <w:sz w:val="22"/>
                <w:szCs w:val="22"/>
              </w:rPr>
              <w:t>64</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235A15C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w:t>
            </w:r>
            <w:r>
              <w:rPr>
                <w:rFonts w:hint="eastAsia" w:ascii="Times New Roman" w:hAnsi="Times New Roman" w:eastAsia="宋体" w:cs="Times New Roman"/>
                <w:color w:val="000000"/>
                <w:sz w:val="22"/>
                <w:szCs w:val="22"/>
              </w:rPr>
              <w:t>100</w:t>
            </w:r>
          </w:p>
        </w:tc>
      </w:tr>
      <w:tr w14:paraId="1761E8AC">
        <w:tblPrEx>
          <w:tblCellMar>
            <w:top w:w="0" w:type="dxa"/>
            <w:left w:w="108" w:type="dxa"/>
            <w:bottom w:w="0" w:type="dxa"/>
            <w:right w:w="108" w:type="dxa"/>
          </w:tblCellMar>
        </w:tblPrEx>
        <w:trPr>
          <w:trHeight w:val="90" w:hRule="atLeast"/>
          <w:jc w:val="center"/>
        </w:trPr>
        <w:tc>
          <w:tcPr>
            <w:tcW w:w="1800" w:type="dxa"/>
            <w:vMerge w:val="continue"/>
            <w:tcBorders>
              <w:top w:val="single" w:color="666666" w:sz="12" w:space="0"/>
              <w:left w:val="nil"/>
              <w:bottom w:val="nil"/>
              <w:right w:val="nil"/>
            </w:tcBorders>
            <w:shd w:val="clear" w:color="auto" w:fill="FFFFFF"/>
            <w:tcMar>
              <w:top w:w="0" w:type="dxa"/>
              <w:left w:w="0" w:type="dxa"/>
              <w:bottom w:w="0" w:type="dxa"/>
              <w:right w:w="0" w:type="dxa"/>
            </w:tcMar>
          </w:tcPr>
          <w:p w14:paraId="4E3C0063">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100" w:type="dxa"/>
            <w:vMerge w:val="continue"/>
            <w:tcBorders>
              <w:top w:val="nil"/>
              <w:left w:val="nil"/>
              <w:bottom w:val="nil"/>
              <w:right w:val="nil"/>
            </w:tcBorders>
            <w:shd w:val="clear" w:color="auto" w:fill="FFFFFF"/>
            <w:tcMar>
              <w:top w:w="0" w:type="dxa"/>
              <w:left w:w="0" w:type="dxa"/>
              <w:bottom w:w="0" w:type="dxa"/>
              <w:right w:w="0" w:type="dxa"/>
            </w:tcMar>
          </w:tcPr>
          <w:p w14:paraId="6EE7BC04">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4B24CE6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Direct effect</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5E1017DE">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61</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2A708B8C">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w:t>
            </w: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36</w:t>
            </w:r>
            <w:r>
              <w:rPr>
                <w:rFonts w:ascii="Times New Roman" w:hAnsi="Times New Roman" w:eastAsia="Arial" w:cs="Times New Roman"/>
                <w:color w:val="000000"/>
                <w:sz w:val="22"/>
                <w:szCs w:val="22"/>
              </w:rPr>
              <w:t>–0.1</w:t>
            </w:r>
            <w:r>
              <w:rPr>
                <w:rFonts w:hint="eastAsia" w:ascii="Times New Roman" w:hAnsi="Times New Roman" w:eastAsia="宋体" w:cs="Times New Roman"/>
                <w:color w:val="000000"/>
                <w:sz w:val="22"/>
                <w:szCs w:val="22"/>
              </w:rPr>
              <w:t>52</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3AA642E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w:t>
            </w:r>
            <w:r>
              <w:rPr>
                <w:rFonts w:hint="eastAsia" w:ascii="Times New Roman" w:hAnsi="Times New Roman" w:eastAsia="宋体" w:cs="Times New Roman"/>
                <w:color w:val="000000"/>
                <w:sz w:val="22"/>
                <w:szCs w:val="22"/>
              </w:rPr>
              <w:t>210</w:t>
            </w:r>
          </w:p>
        </w:tc>
      </w:tr>
      <w:tr w14:paraId="1C365D4A">
        <w:tblPrEx>
          <w:tblCellMar>
            <w:top w:w="0" w:type="dxa"/>
            <w:left w:w="108" w:type="dxa"/>
            <w:bottom w:w="0" w:type="dxa"/>
            <w:right w:w="108" w:type="dxa"/>
          </w:tblCellMar>
        </w:tblPrEx>
        <w:trPr>
          <w:jc w:val="center"/>
        </w:trPr>
        <w:tc>
          <w:tcPr>
            <w:tcW w:w="1800" w:type="dxa"/>
            <w:vMerge w:val="continue"/>
            <w:tcBorders>
              <w:top w:val="nil"/>
              <w:left w:val="nil"/>
              <w:bottom w:val="nil"/>
              <w:right w:val="nil"/>
            </w:tcBorders>
            <w:shd w:val="clear" w:color="auto" w:fill="FFFFFF"/>
            <w:tcMar>
              <w:top w:w="0" w:type="dxa"/>
              <w:left w:w="0" w:type="dxa"/>
              <w:bottom w:w="0" w:type="dxa"/>
              <w:right w:w="0" w:type="dxa"/>
            </w:tcMar>
          </w:tcPr>
          <w:p w14:paraId="2227C3E9">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100" w:type="dxa"/>
            <w:vMerge w:val="continue"/>
            <w:tcBorders>
              <w:top w:val="nil"/>
              <w:left w:val="nil"/>
              <w:bottom w:val="nil"/>
              <w:right w:val="nil"/>
            </w:tcBorders>
            <w:shd w:val="clear" w:color="auto" w:fill="FFFFFF"/>
            <w:tcMar>
              <w:top w:w="0" w:type="dxa"/>
              <w:left w:w="0" w:type="dxa"/>
              <w:bottom w:w="0" w:type="dxa"/>
              <w:right w:w="0" w:type="dxa"/>
            </w:tcMar>
          </w:tcPr>
          <w:p w14:paraId="6A9388A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38EF362E">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Indirect effec</w:t>
            </w:r>
            <w:r>
              <w:rPr>
                <w:rFonts w:ascii="Times New Roman" w:hAnsi="Times New Roman" w:eastAsia="宋体" w:cs="Times New Roman"/>
                <w:color w:val="000000"/>
                <w:sz w:val="22"/>
                <w:szCs w:val="22"/>
              </w:rPr>
              <w:t>t</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4BFE5AA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0.02</w:t>
            </w:r>
            <w:r>
              <w:rPr>
                <w:rFonts w:hint="eastAsia" w:ascii="Times New Roman" w:hAnsi="Times New Roman" w:eastAsia="宋体" w:cs="Times New Roman"/>
                <w:color w:val="000000"/>
                <w:sz w:val="22"/>
                <w:szCs w:val="22"/>
              </w:rPr>
              <w:t>9</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77E98220">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r>
              <w:rPr>
                <w:rFonts w:ascii="Times New Roman" w:hAnsi="Times New Roman" w:eastAsia="Arial" w:cs="Times New Roman"/>
                <w:color w:val="000000"/>
                <w:sz w:val="22"/>
                <w:szCs w:val="22"/>
              </w:rPr>
              <w:t>0.00</w:t>
            </w:r>
            <w:r>
              <w:rPr>
                <w:rFonts w:hint="eastAsia" w:ascii="Times New Roman" w:hAnsi="Times New Roman" w:eastAsia="宋体" w:cs="Times New Roman"/>
                <w:color w:val="000000"/>
                <w:sz w:val="22"/>
                <w:szCs w:val="22"/>
              </w:rPr>
              <w:t>4</w:t>
            </w: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46</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5431F950">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w:t>
            </w:r>
            <w:r>
              <w:rPr>
                <w:rFonts w:hint="eastAsia" w:ascii="Times New Roman" w:hAnsi="Times New Roman" w:eastAsia="宋体" w:cs="Times New Roman"/>
                <w:color w:val="000000"/>
                <w:sz w:val="22"/>
                <w:szCs w:val="22"/>
              </w:rPr>
              <w:t>122</w:t>
            </w:r>
          </w:p>
        </w:tc>
      </w:tr>
      <w:tr w14:paraId="6B263DE2">
        <w:tblPrEx>
          <w:tblCellMar>
            <w:top w:w="0" w:type="dxa"/>
            <w:left w:w="108" w:type="dxa"/>
            <w:bottom w:w="0" w:type="dxa"/>
            <w:right w:w="108" w:type="dxa"/>
          </w:tblCellMar>
        </w:tblPrEx>
        <w:trPr>
          <w:jc w:val="center"/>
        </w:trPr>
        <w:tc>
          <w:tcPr>
            <w:tcW w:w="1800" w:type="dxa"/>
            <w:vMerge w:val="continue"/>
            <w:tcBorders>
              <w:top w:val="nil"/>
              <w:left w:val="nil"/>
              <w:bottom w:val="nil"/>
              <w:right w:val="nil"/>
            </w:tcBorders>
            <w:shd w:val="clear" w:color="auto" w:fill="FFFFFF"/>
            <w:tcMar>
              <w:top w:w="0" w:type="dxa"/>
              <w:left w:w="0" w:type="dxa"/>
              <w:bottom w:w="0" w:type="dxa"/>
              <w:right w:w="0" w:type="dxa"/>
            </w:tcMar>
          </w:tcPr>
          <w:p w14:paraId="6CA5909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100" w:type="dxa"/>
            <w:vMerge w:val="continue"/>
            <w:tcBorders>
              <w:top w:val="nil"/>
              <w:left w:val="nil"/>
              <w:bottom w:val="nil"/>
              <w:right w:val="nil"/>
            </w:tcBorders>
            <w:shd w:val="clear" w:color="auto" w:fill="FFFFFF"/>
            <w:tcMar>
              <w:top w:w="0" w:type="dxa"/>
              <w:left w:w="0" w:type="dxa"/>
              <w:bottom w:w="0" w:type="dxa"/>
              <w:right w:w="0" w:type="dxa"/>
            </w:tcMar>
          </w:tcPr>
          <w:p w14:paraId="26A8A6E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2F16DE3B">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Proportion mediated</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1B5844C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32.9</w:t>
            </w:r>
            <w:r>
              <w:rPr>
                <w:rFonts w:ascii="Times New Roman" w:hAnsi="Times New Roman" w:eastAsia="Arial" w:cs="Times New Roman"/>
                <w:color w:val="000000"/>
                <w:sz w:val="22"/>
                <w:szCs w:val="22"/>
              </w:rPr>
              <w:t>%</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2452EA0C">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w:t>
            </w:r>
            <w:r>
              <w:rPr>
                <w:rFonts w:hint="eastAsia" w:ascii="Times New Roman" w:hAnsi="Times New Roman" w:eastAsia="宋体" w:cs="Times New Roman"/>
                <w:color w:val="000000"/>
                <w:sz w:val="22"/>
                <w:szCs w:val="22"/>
              </w:rPr>
              <w:t>92.4</w:t>
            </w:r>
            <w:r>
              <w:rPr>
                <w:rFonts w:ascii="Times New Roman" w:hAnsi="Times New Roman" w:eastAsia="Arial" w:cs="Times New Roman"/>
                <w:color w:val="000000"/>
                <w:sz w:val="22"/>
                <w:szCs w:val="22"/>
              </w:rPr>
              <w:t>%–</w:t>
            </w:r>
            <w:r>
              <w:rPr>
                <w:rFonts w:hint="eastAsia" w:ascii="Times New Roman" w:hAnsi="Times New Roman" w:eastAsia="宋体" w:cs="Times New Roman"/>
                <w:color w:val="000000"/>
                <w:sz w:val="22"/>
                <w:szCs w:val="22"/>
              </w:rPr>
              <w:t>210.6</w:t>
            </w:r>
            <w:r>
              <w:rPr>
                <w:rFonts w:ascii="Times New Roman" w:hAnsi="Times New Roman" w:eastAsia="Arial" w:cs="Times New Roman"/>
                <w:color w:val="000000"/>
                <w:sz w:val="22"/>
                <w:szCs w:val="22"/>
              </w:rPr>
              <w:t>%</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1BE995D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w:t>
            </w:r>
            <w:r>
              <w:rPr>
                <w:rFonts w:hint="eastAsia" w:ascii="Times New Roman" w:hAnsi="Times New Roman" w:eastAsia="宋体" w:cs="Times New Roman"/>
                <w:color w:val="000000"/>
                <w:sz w:val="22"/>
                <w:szCs w:val="22"/>
              </w:rPr>
              <w:t>216</w:t>
            </w:r>
          </w:p>
        </w:tc>
      </w:tr>
      <w:tr w14:paraId="660211EB">
        <w:tblPrEx>
          <w:tblCellMar>
            <w:top w:w="0" w:type="dxa"/>
            <w:left w:w="108" w:type="dxa"/>
            <w:bottom w:w="0" w:type="dxa"/>
            <w:right w:w="108" w:type="dxa"/>
          </w:tblCellMar>
        </w:tblPrEx>
        <w:trPr>
          <w:trHeight w:val="302" w:hRule="atLeast"/>
          <w:jc w:val="center"/>
        </w:trPr>
        <w:tc>
          <w:tcPr>
            <w:tcW w:w="1800" w:type="dxa"/>
            <w:vMerge w:val="continue"/>
            <w:tcBorders>
              <w:top w:val="nil"/>
              <w:left w:val="nil"/>
              <w:bottom w:val="nil"/>
              <w:right w:val="nil"/>
            </w:tcBorders>
            <w:shd w:val="clear" w:color="auto" w:fill="FFFFFF"/>
            <w:tcMar>
              <w:top w:w="0" w:type="dxa"/>
              <w:left w:w="0" w:type="dxa"/>
              <w:bottom w:w="0" w:type="dxa"/>
              <w:right w:w="0" w:type="dxa"/>
            </w:tcMar>
          </w:tcPr>
          <w:p w14:paraId="3520ECB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100" w:type="dxa"/>
            <w:tcBorders>
              <w:top w:val="nil"/>
              <w:left w:val="nil"/>
              <w:bottom w:val="single" w:color="666666" w:sz="12" w:space="0"/>
              <w:right w:val="nil"/>
            </w:tcBorders>
            <w:shd w:val="clear" w:color="auto" w:fill="FFFFFF"/>
            <w:tcMar>
              <w:top w:w="0" w:type="dxa"/>
              <w:left w:w="0" w:type="dxa"/>
              <w:bottom w:w="0" w:type="dxa"/>
              <w:right w:w="0" w:type="dxa"/>
            </w:tcMar>
          </w:tcPr>
          <w:p w14:paraId="4B259AEB">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Disadvantaged</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Intermediate profile</w:t>
            </w:r>
          </w:p>
        </w:tc>
        <w:tc>
          <w:tcPr>
            <w:tcW w:w="4245" w:type="dxa"/>
            <w:tcBorders>
              <w:top w:val="nil"/>
              <w:left w:val="nil"/>
              <w:bottom w:val="nil"/>
              <w:right w:val="nil"/>
            </w:tcBorders>
            <w:shd w:val="clear" w:color="auto" w:fill="FFFFFF"/>
            <w:tcMar>
              <w:top w:w="0" w:type="dxa"/>
              <w:left w:w="0" w:type="dxa"/>
              <w:bottom w:w="0" w:type="dxa"/>
              <w:right w:w="0" w:type="dxa"/>
            </w:tcMar>
            <w:vAlign w:val="center"/>
          </w:tcPr>
          <w:p w14:paraId="7CB507E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Times New Roman" w:cs="Times New Roman"/>
                <w:color w:val="000000"/>
                <w:sz w:val="20"/>
                <w:szCs w:val="20"/>
              </w:rPr>
              <w:t>Not reported due to sparse data</w:t>
            </w:r>
          </w:p>
        </w:tc>
        <w:tc>
          <w:tcPr>
            <w:tcW w:w="1590" w:type="dxa"/>
            <w:tcBorders>
              <w:top w:val="nil"/>
              <w:left w:val="nil"/>
              <w:bottom w:val="nil"/>
              <w:right w:val="nil"/>
            </w:tcBorders>
            <w:shd w:val="clear" w:color="auto" w:fill="FFFFFF"/>
            <w:tcMar>
              <w:top w:w="0" w:type="dxa"/>
              <w:left w:w="0" w:type="dxa"/>
              <w:bottom w:w="0" w:type="dxa"/>
              <w:right w:w="0" w:type="dxa"/>
            </w:tcMar>
            <w:vAlign w:val="center"/>
          </w:tcPr>
          <w:p w14:paraId="47FE1824">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c>
          <w:tcPr>
            <w:tcW w:w="2295" w:type="dxa"/>
            <w:tcBorders>
              <w:top w:val="nil"/>
              <w:left w:val="nil"/>
              <w:bottom w:val="nil"/>
              <w:right w:val="nil"/>
            </w:tcBorders>
            <w:shd w:val="clear" w:color="auto" w:fill="FFFFFF"/>
            <w:tcMar>
              <w:top w:w="0" w:type="dxa"/>
              <w:left w:w="0" w:type="dxa"/>
              <w:bottom w:w="0" w:type="dxa"/>
              <w:right w:w="0" w:type="dxa"/>
            </w:tcMar>
            <w:vAlign w:val="center"/>
          </w:tcPr>
          <w:p w14:paraId="79F0FF7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c>
          <w:tcPr>
            <w:tcW w:w="1739" w:type="dxa"/>
            <w:tcBorders>
              <w:top w:val="nil"/>
              <w:left w:val="nil"/>
              <w:bottom w:val="nil"/>
              <w:right w:val="nil"/>
            </w:tcBorders>
            <w:shd w:val="clear" w:color="auto" w:fill="FFFFFF"/>
            <w:tcMar>
              <w:top w:w="0" w:type="dxa"/>
              <w:left w:w="0" w:type="dxa"/>
              <w:bottom w:w="0" w:type="dxa"/>
              <w:right w:w="0" w:type="dxa"/>
            </w:tcMar>
            <w:vAlign w:val="center"/>
          </w:tcPr>
          <w:p w14:paraId="2D85184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p>
        </w:tc>
      </w:tr>
      <w:tr w14:paraId="6FE6599E">
        <w:tblPrEx>
          <w:tblCellMar>
            <w:top w:w="0" w:type="dxa"/>
            <w:left w:w="108" w:type="dxa"/>
            <w:bottom w:w="0" w:type="dxa"/>
            <w:right w:w="108" w:type="dxa"/>
          </w:tblCellMar>
        </w:tblPrEx>
        <w:trPr>
          <w:jc w:val="center"/>
        </w:trPr>
        <w:tc>
          <w:tcPr>
            <w:tcW w:w="13769" w:type="dxa"/>
            <w:gridSpan w:val="6"/>
            <w:tcBorders>
              <w:top w:val="single" w:color="666666" w:sz="12" w:space="0"/>
              <w:left w:val="nil"/>
              <w:bottom w:val="nil"/>
              <w:right w:val="nil"/>
            </w:tcBorders>
            <w:shd w:val="clear" w:color="auto" w:fill="FFFFFF"/>
            <w:tcMar>
              <w:top w:w="0" w:type="dxa"/>
              <w:left w:w="0" w:type="dxa"/>
              <w:bottom w:w="0" w:type="dxa"/>
              <w:right w:w="0" w:type="dxa"/>
            </w:tcMar>
            <w:vAlign w:val="center"/>
          </w:tcPr>
          <w:p w14:paraId="78765D4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Abbreviations: BMI, body mass index; GWG, gestational weight gain;</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CI, confidence interval.</w:t>
            </w:r>
          </w:p>
        </w:tc>
      </w:tr>
      <w:tr w14:paraId="385186C0">
        <w:tblPrEx>
          <w:tblCellMar>
            <w:top w:w="0" w:type="dxa"/>
            <w:left w:w="108" w:type="dxa"/>
            <w:bottom w:w="0" w:type="dxa"/>
            <w:right w:w="108" w:type="dxa"/>
          </w:tblCellMar>
        </w:tblPrEx>
        <w:trPr>
          <w:jc w:val="center"/>
        </w:trPr>
        <w:tc>
          <w:tcPr>
            <w:tcW w:w="13769" w:type="dxa"/>
            <w:gridSpan w:val="6"/>
            <w:tcBorders>
              <w:top w:val="nil"/>
              <w:left w:val="nil"/>
              <w:bottom w:val="nil"/>
              <w:right w:val="nil"/>
            </w:tcBorders>
            <w:shd w:val="clear" w:color="auto" w:fill="FFFFFF"/>
            <w:tcMar>
              <w:top w:w="0" w:type="dxa"/>
              <w:left w:w="0" w:type="dxa"/>
              <w:bottom w:w="0" w:type="dxa"/>
              <w:right w:w="0" w:type="dxa"/>
            </w:tcMar>
            <w:vAlign w:val="center"/>
          </w:tcPr>
          <w:p w14:paraId="7308EBF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Confidence intervals were estimated using 5,000 bootstrap resamples.</w:t>
            </w:r>
          </w:p>
        </w:tc>
      </w:tr>
      <w:tr w14:paraId="06934523">
        <w:tblPrEx>
          <w:tblCellMar>
            <w:top w:w="0" w:type="dxa"/>
            <w:left w:w="108" w:type="dxa"/>
            <w:bottom w:w="0" w:type="dxa"/>
            <w:right w:w="108" w:type="dxa"/>
          </w:tblCellMar>
        </w:tblPrEx>
        <w:trPr>
          <w:jc w:val="center"/>
        </w:trPr>
        <w:tc>
          <w:tcPr>
            <w:tcW w:w="13769" w:type="dxa"/>
            <w:gridSpan w:val="6"/>
            <w:tcBorders>
              <w:top w:val="nil"/>
              <w:left w:val="nil"/>
              <w:bottom w:val="nil"/>
              <w:right w:val="nil"/>
            </w:tcBorders>
            <w:shd w:val="clear" w:color="auto" w:fill="FFFFFF"/>
            <w:tcMar>
              <w:top w:w="0" w:type="dxa"/>
              <w:left w:w="0" w:type="dxa"/>
              <w:bottom w:w="0" w:type="dxa"/>
              <w:right w:w="0" w:type="dxa"/>
            </w:tcMar>
            <w:vAlign w:val="center"/>
          </w:tcPr>
          <w:p w14:paraId="2AAB3EC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Estimates for total, direct, and indirect effects are presented as risk differences. Proportion mediated is presented as percentage.</w:t>
            </w:r>
          </w:p>
        </w:tc>
      </w:tr>
    </w:tbl>
    <w:p w14:paraId="685FD4E9">
      <w:pPr>
        <w:rPr>
          <w:rFonts w:ascii="Times New Roman" w:hAnsi="Times New Roman" w:cs="Times New Roman"/>
          <w:b/>
          <w:bCs/>
          <w:color w:val="000000" w:themeColor="text1"/>
          <w:sz w:val="24"/>
          <w14:textFill>
            <w14:solidFill>
              <w14:schemeClr w14:val="tx1"/>
            </w14:solidFill>
          </w14:textFill>
          <w14:ligatures w14:val="standardContextual"/>
        </w:rPr>
      </w:pPr>
      <w:r>
        <w:rPr>
          <w:rFonts w:ascii="Times New Roman" w:hAnsi="Times New Roman" w:cs="Times New Roman"/>
          <w:b/>
          <w:bCs/>
          <w:color w:val="000000" w:themeColor="text1"/>
          <w:sz w:val="24"/>
          <w14:textFill>
            <w14:solidFill>
              <w14:schemeClr w14:val="tx1"/>
            </w14:solidFill>
          </w14:textFill>
          <w14:ligatures w14:val="standardContextual"/>
        </w:rPr>
        <w:br w:type="page"/>
      </w:r>
    </w:p>
    <w:p w14:paraId="3F77EE66">
      <w:pPr>
        <w:pStyle w:val="4"/>
        <w:keepNext/>
        <w:pBdr>
          <w:top w:val="none" w:color="000000" w:sz="0" w:space="0"/>
          <w:left w:val="none" w:color="000000" w:sz="0" w:space="0"/>
          <w:bottom w:val="none" w:color="000000" w:sz="0" w:space="0"/>
          <w:right w:val="none" w:color="000000" w:sz="0" w:space="0"/>
        </w:pBdr>
        <w:spacing w:before="60" w:after="60"/>
        <w:ind w:right="60"/>
        <w:jc w:val="both"/>
        <w:rPr>
          <w:rFonts w:ascii="Times New Roman" w:hAnsi="Times New Roman" w:cs="Times New Roman"/>
          <w:i w:val="0"/>
          <w:iCs/>
          <w:sz w:val="24"/>
        </w:rPr>
      </w:pPr>
      <w:r>
        <w:rPr>
          <w:rFonts w:ascii="Times New Roman" w:hAnsi="Times New Roman" w:cs="Times New Roman"/>
          <w:i w:val="0"/>
          <w:iCs/>
          <w:sz w:val="24"/>
        </w:rPr>
        <w:t>Supplementary Table</w:t>
      </w:r>
      <w:r>
        <w:rPr>
          <w:rFonts w:hint="eastAsia" w:ascii="Times New Roman" w:hAnsi="Times New Roman" w:cs="Times New Roman"/>
          <w:i w:val="0"/>
          <w:iCs/>
          <w:sz w:val="24"/>
        </w:rPr>
        <w:t xml:space="preserve"> S4</w:t>
      </w:r>
      <w:r>
        <w:rPr>
          <w:rFonts w:ascii="Times New Roman" w:hAnsi="Times New Roman" w:cs="Times New Roman"/>
          <w:i w:val="0"/>
          <w:iCs/>
          <w:sz w:val="24"/>
        </w:rPr>
        <w:t>. Sensitivity analyses after excluding women with pre-existing endocrine disorders</w:t>
      </w:r>
    </w:p>
    <w:tbl>
      <w:tblPr>
        <w:tblStyle w:val="2"/>
        <w:tblW w:w="15060" w:type="dxa"/>
        <w:jc w:val="center"/>
        <w:tblLayout w:type="fixed"/>
        <w:tblCellMar>
          <w:top w:w="0" w:type="dxa"/>
          <w:left w:w="108" w:type="dxa"/>
          <w:bottom w:w="0" w:type="dxa"/>
          <w:right w:w="108" w:type="dxa"/>
        </w:tblCellMar>
      </w:tblPr>
      <w:tblGrid>
        <w:gridCol w:w="3757"/>
        <w:gridCol w:w="1968"/>
        <w:gridCol w:w="2748"/>
        <w:gridCol w:w="1572"/>
        <w:gridCol w:w="1624"/>
        <w:gridCol w:w="1932"/>
        <w:gridCol w:w="1459"/>
      </w:tblGrid>
      <w:tr w14:paraId="32E62D62">
        <w:tblPrEx>
          <w:tblCellMar>
            <w:top w:w="0" w:type="dxa"/>
            <w:left w:w="108" w:type="dxa"/>
            <w:bottom w:w="0" w:type="dxa"/>
            <w:right w:w="108" w:type="dxa"/>
          </w:tblCellMar>
        </w:tblPrEx>
        <w:trPr>
          <w:trHeight w:val="23" w:hRule="atLeast"/>
          <w:tblHeader/>
          <w:jc w:val="center"/>
        </w:trPr>
        <w:tc>
          <w:tcPr>
            <w:tcW w:w="3757"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674F62E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Panel</w:t>
            </w:r>
          </w:p>
        </w:tc>
        <w:tc>
          <w:tcPr>
            <w:tcW w:w="1968"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121C5EE">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Outcome / model</w:t>
            </w:r>
          </w:p>
        </w:tc>
        <w:tc>
          <w:tcPr>
            <w:tcW w:w="2748"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F9FC63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Comparison</w:t>
            </w:r>
          </w:p>
        </w:tc>
        <w:tc>
          <w:tcPr>
            <w:tcW w:w="1572"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7DB4DCD">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Measure</w:t>
            </w:r>
          </w:p>
        </w:tc>
        <w:tc>
          <w:tcPr>
            <w:tcW w:w="1624"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6E2D100">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Estimate</w:t>
            </w:r>
          </w:p>
        </w:tc>
        <w:tc>
          <w:tcPr>
            <w:tcW w:w="1932"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729EFCF">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95% CI</w:t>
            </w:r>
          </w:p>
        </w:tc>
        <w:tc>
          <w:tcPr>
            <w:tcW w:w="1459"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CEA24EB">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P value</w:t>
            </w:r>
          </w:p>
        </w:tc>
      </w:tr>
      <w:tr w14:paraId="1EC71EC1">
        <w:tblPrEx>
          <w:tblCellMar>
            <w:top w:w="0" w:type="dxa"/>
            <w:left w:w="108" w:type="dxa"/>
            <w:bottom w:w="0" w:type="dxa"/>
            <w:right w:w="108" w:type="dxa"/>
          </w:tblCellMar>
        </w:tblPrEx>
        <w:trPr>
          <w:trHeight w:val="416" w:hRule="atLeast"/>
          <w:jc w:val="center"/>
        </w:trPr>
        <w:tc>
          <w:tcPr>
            <w:tcW w:w="3757" w:type="dxa"/>
            <w:vMerge w:val="restart"/>
            <w:tcBorders>
              <w:top w:val="single" w:color="666666" w:sz="12" w:space="0"/>
              <w:left w:val="nil"/>
              <w:bottom w:val="nil"/>
              <w:right w:val="nil"/>
            </w:tcBorders>
            <w:shd w:val="clear" w:color="auto" w:fill="FFFFFF"/>
            <w:tcMar>
              <w:top w:w="0" w:type="dxa"/>
              <w:left w:w="0" w:type="dxa"/>
              <w:bottom w:w="0" w:type="dxa"/>
              <w:right w:w="0" w:type="dxa"/>
            </w:tcMar>
          </w:tcPr>
          <w:p w14:paraId="724930F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
                <w:bCs/>
                <w:color w:val="000000"/>
                <w:sz w:val="22"/>
                <w:szCs w:val="22"/>
              </w:rPr>
            </w:pPr>
            <w:r>
              <w:rPr>
                <w:rFonts w:ascii="Times New Roman" w:hAnsi="Times New Roman" w:eastAsia="Arial" w:cs="Times New Roman"/>
                <w:b/>
                <w:bCs/>
                <w:color w:val="000000"/>
                <w:sz w:val="22"/>
                <w:szCs w:val="22"/>
              </w:rPr>
              <w:t xml:space="preserve">Panel A. </w:t>
            </w:r>
          </w:p>
          <w:p w14:paraId="09D066A9">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SDOH profile</w:t>
            </w:r>
            <w:r>
              <w:rPr>
                <w:rFonts w:ascii="Times New Roman" w:hAnsi="Times New Roman" w:eastAsia="Arial" w:cs="Times New Roman"/>
                <w:color w:val="000000"/>
                <w:sz w:val="22"/>
                <w:szCs w:val="22"/>
              </w:rPr>
              <w:t xml:space="preserve"> and adverse neonatal outcomes</w:t>
            </w:r>
          </w:p>
        </w:tc>
        <w:tc>
          <w:tcPr>
            <w:tcW w:w="1968" w:type="dxa"/>
            <w:vMerge w:val="restart"/>
            <w:tcBorders>
              <w:top w:val="single" w:color="666666" w:sz="12" w:space="0"/>
              <w:left w:val="nil"/>
              <w:bottom w:val="nil"/>
              <w:right w:val="nil"/>
            </w:tcBorders>
            <w:shd w:val="clear" w:color="auto" w:fill="FFFFFF"/>
            <w:tcMar>
              <w:top w:w="0" w:type="dxa"/>
              <w:left w:w="0" w:type="dxa"/>
              <w:bottom w:w="0" w:type="dxa"/>
              <w:right w:w="0" w:type="dxa"/>
            </w:tcMar>
          </w:tcPr>
          <w:p w14:paraId="366B48BB">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Composite adverse neonatal outcome</w:t>
            </w:r>
          </w:p>
        </w:tc>
        <w:tc>
          <w:tcPr>
            <w:tcW w:w="2748"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10AF8BD3">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Intermediate profile</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Advantaged profile</w:t>
            </w:r>
          </w:p>
        </w:tc>
        <w:tc>
          <w:tcPr>
            <w:tcW w:w="1572"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30359811">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aOR</w:t>
            </w:r>
          </w:p>
        </w:tc>
        <w:tc>
          <w:tcPr>
            <w:tcW w:w="1624"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2EA3BDC7">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1.242</w:t>
            </w:r>
          </w:p>
        </w:tc>
        <w:tc>
          <w:tcPr>
            <w:tcW w:w="1932"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19409B6A">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(0.9</w:t>
            </w:r>
            <w:bookmarkStart w:id="0" w:name="OLE_LINK6"/>
            <w:r>
              <w:rPr>
                <w:rFonts w:ascii="Times New Roman" w:hAnsi="Times New Roman" w:eastAsia="Arial" w:cs="Times New Roman"/>
                <w:color w:val="000000"/>
                <w:sz w:val="22"/>
                <w:szCs w:val="22"/>
              </w:rPr>
              <w:t>24, 1.67</w:t>
            </w:r>
            <w:bookmarkEnd w:id="0"/>
            <w:r>
              <w:rPr>
                <w:rFonts w:ascii="Times New Roman" w:hAnsi="Times New Roman" w:eastAsia="Arial" w:cs="Times New Roman"/>
                <w:color w:val="000000"/>
                <w:sz w:val="22"/>
                <w:szCs w:val="22"/>
              </w:rPr>
              <w:t>2)</w:t>
            </w:r>
          </w:p>
        </w:tc>
        <w:tc>
          <w:tcPr>
            <w:tcW w:w="1459"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4B5C05E9">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0.152</w:t>
            </w:r>
          </w:p>
        </w:tc>
      </w:tr>
      <w:tr w14:paraId="53060BC1">
        <w:tblPrEx>
          <w:tblCellMar>
            <w:top w:w="0" w:type="dxa"/>
            <w:left w:w="108" w:type="dxa"/>
            <w:bottom w:w="0" w:type="dxa"/>
            <w:right w:w="108" w:type="dxa"/>
          </w:tblCellMar>
        </w:tblPrEx>
        <w:trPr>
          <w:trHeight w:val="308" w:hRule="atLeast"/>
          <w:jc w:val="center"/>
        </w:trPr>
        <w:tc>
          <w:tcPr>
            <w:tcW w:w="3757" w:type="dxa"/>
            <w:vMerge w:val="continue"/>
            <w:tcBorders>
              <w:top w:val="nil"/>
              <w:left w:val="nil"/>
              <w:bottom w:val="nil"/>
              <w:right w:val="nil"/>
            </w:tcBorders>
            <w:shd w:val="clear" w:color="auto" w:fill="FFFFFF"/>
            <w:tcMar>
              <w:top w:w="0" w:type="dxa"/>
              <w:left w:w="0" w:type="dxa"/>
              <w:bottom w:w="0" w:type="dxa"/>
              <w:right w:w="0" w:type="dxa"/>
            </w:tcMar>
          </w:tcPr>
          <w:p w14:paraId="51FF95D0">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1968" w:type="dxa"/>
            <w:vMerge w:val="continue"/>
            <w:tcBorders>
              <w:top w:val="nil"/>
              <w:left w:val="nil"/>
              <w:bottom w:val="nil"/>
              <w:right w:val="nil"/>
            </w:tcBorders>
            <w:shd w:val="clear" w:color="auto" w:fill="FFFFFF"/>
            <w:tcMar>
              <w:top w:w="0" w:type="dxa"/>
              <w:left w:w="0" w:type="dxa"/>
              <w:bottom w:w="0" w:type="dxa"/>
              <w:right w:w="0" w:type="dxa"/>
            </w:tcMar>
          </w:tcPr>
          <w:p w14:paraId="601ED1DB">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748" w:type="dxa"/>
            <w:tcBorders>
              <w:top w:val="nil"/>
              <w:left w:val="nil"/>
              <w:bottom w:val="nil"/>
              <w:right w:val="nil"/>
            </w:tcBorders>
            <w:shd w:val="clear" w:color="auto" w:fill="FFFFFF"/>
            <w:tcMar>
              <w:top w:w="0" w:type="dxa"/>
              <w:left w:w="0" w:type="dxa"/>
              <w:bottom w:w="0" w:type="dxa"/>
              <w:right w:w="0" w:type="dxa"/>
            </w:tcMar>
            <w:vAlign w:val="center"/>
          </w:tcPr>
          <w:p w14:paraId="3E76151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Disadvantaged profile</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Advantaged profile</w:t>
            </w:r>
          </w:p>
        </w:tc>
        <w:tc>
          <w:tcPr>
            <w:tcW w:w="1572" w:type="dxa"/>
            <w:tcBorders>
              <w:top w:val="nil"/>
              <w:left w:val="nil"/>
              <w:bottom w:val="nil"/>
              <w:right w:val="nil"/>
            </w:tcBorders>
            <w:shd w:val="clear" w:color="auto" w:fill="FFFFFF"/>
            <w:tcMar>
              <w:top w:w="0" w:type="dxa"/>
              <w:left w:w="0" w:type="dxa"/>
              <w:bottom w:w="0" w:type="dxa"/>
              <w:right w:w="0" w:type="dxa"/>
            </w:tcMar>
            <w:vAlign w:val="center"/>
          </w:tcPr>
          <w:p w14:paraId="3AAA8EB1">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aOR</w:t>
            </w:r>
          </w:p>
        </w:tc>
        <w:tc>
          <w:tcPr>
            <w:tcW w:w="1624" w:type="dxa"/>
            <w:tcBorders>
              <w:top w:val="nil"/>
              <w:left w:val="nil"/>
              <w:bottom w:val="nil"/>
              <w:right w:val="nil"/>
            </w:tcBorders>
            <w:shd w:val="clear" w:color="auto" w:fill="FFFFFF"/>
            <w:tcMar>
              <w:top w:w="0" w:type="dxa"/>
              <w:left w:w="0" w:type="dxa"/>
              <w:bottom w:w="0" w:type="dxa"/>
              <w:right w:w="0" w:type="dxa"/>
            </w:tcMar>
            <w:vAlign w:val="center"/>
          </w:tcPr>
          <w:p w14:paraId="78D50FF1">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1.672</w:t>
            </w:r>
          </w:p>
        </w:tc>
        <w:tc>
          <w:tcPr>
            <w:tcW w:w="1932" w:type="dxa"/>
            <w:tcBorders>
              <w:top w:val="nil"/>
              <w:left w:val="nil"/>
              <w:bottom w:val="nil"/>
              <w:right w:val="nil"/>
            </w:tcBorders>
            <w:shd w:val="clear" w:color="auto" w:fill="FFFFFF"/>
            <w:tcMar>
              <w:top w:w="0" w:type="dxa"/>
              <w:left w:w="0" w:type="dxa"/>
              <w:bottom w:w="0" w:type="dxa"/>
              <w:right w:w="0" w:type="dxa"/>
            </w:tcMar>
            <w:vAlign w:val="center"/>
          </w:tcPr>
          <w:p w14:paraId="2CE02552">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(1.253, 2.237)</w:t>
            </w:r>
          </w:p>
        </w:tc>
        <w:tc>
          <w:tcPr>
            <w:tcW w:w="1459" w:type="dxa"/>
            <w:tcBorders>
              <w:top w:val="nil"/>
              <w:left w:val="nil"/>
              <w:bottom w:val="nil"/>
              <w:right w:val="nil"/>
            </w:tcBorders>
            <w:shd w:val="clear" w:color="auto" w:fill="FFFFFF"/>
            <w:tcMar>
              <w:top w:w="0" w:type="dxa"/>
              <w:left w:w="0" w:type="dxa"/>
              <w:bottom w:w="0" w:type="dxa"/>
              <w:right w:w="0" w:type="dxa"/>
            </w:tcMar>
            <w:vAlign w:val="center"/>
          </w:tcPr>
          <w:p w14:paraId="71091B40">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0</w:t>
            </w:r>
            <w:r>
              <w:rPr>
                <w:rFonts w:ascii="Times New Roman" w:hAnsi="Times New Roman" w:eastAsia="Arial" w:cs="Times New Roman"/>
                <w:color w:val="000000"/>
                <w:sz w:val="22"/>
                <w:szCs w:val="22"/>
              </w:rPr>
              <w:t>1</w:t>
            </w:r>
          </w:p>
        </w:tc>
      </w:tr>
      <w:tr w14:paraId="38E8F20F">
        <w:tblPrEx>
          <w:tblCellMar>
            <w:top w:w="0" w:type="dxa"/>
            <w:left w:w="108" w:type="dxa"/>
            <w:bottom w:w="0" w:type="dxa"/>
            <w:right w:w="108" w:type="dxa"/>
          </w:tblCellMar>
        </w:tblPrEx>
        <w:trPr>
          <w:trHeight w:val="224" w:hRule="atLeast"/>
          <w:jc w:val="center"/>
        </w:trPr>
        <w:tc>
          <w:tcPr>
            <w:tcW w:w="3757" w:type="dxa"/>
            <w:vMerge w:val="restart"/>
            <w:tcBorders>
              <w:top w:val="nil"/>
              <w:left w:val="nil"/>
              <w:bottom w:val="nil"/>
              <w:right w:val="nil"/>
            </w:tcBorders>
            <w:shd w:val="clear" w:color="auto" w:fill="FFFFFF"/>
            <w:tcMar>
              <w:top w:w="0" w:type="dxa"/>
              <w:left w:w="0" w:type="dxa"/>
              <w:bottom w:w="0" w:type="dxa"/>
              <w:right w:w="0" w:type="dxa"/>
            </w:tcMar>
          </w:tcPr>
          <w:p w14:paraId="552305CE">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
                <w:bCs/>
                <w:color w:val="000000"/>
                <w:sz w:val="22"/>
                <w:szCs w:val="22"/>
              </w:rPr>
            </w:pPr>
            <w:r>
              <w:rPr>
                <w:rFonts w:ascii="Times New Roman" w:hAnsi="Times New Roman" w:eastAsia="Arial" w:cs="Times New Roman"/>
                <w:b/>
                <w:bCs/>
                <w:color w:val="000000"/>
                <w:sz w:val="22"/>
                <w:szCs w:val="22"/>
              </w:rPr>
              <w:t xml:space="preserve">Panel B. </w:t>
            </w:r>
          </w:p>
          <w:p w14:paraId="176DAF5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SDOH profile</w:t>
            </w:r>
            <w:r>
              <w:rPr>
                <w:rFonts w:ascii="Times New Roman" w:hAnsi="Times New Roman" w:eastAsia="Arial" w:cs="Times New Roman"/>
                <w:color w:val="000000"/>
                <w:sz w:val="22"/>
                <w:szCs w:val="22"/>
              </w:rPr>
              <w:t xml:space="preserve"> and GWG trajectories</w:t>
            </w:r>
          </w:p>
        </w:tc>
        <w:tc>
          <w:tcPr>
            <w:tcW w:w="1968" w:type="dxa"/>
            <w:vMerge w:val="restart"/>
            <w:tcBorders>
              <w:top w:val="nil"/>
              <w:left w:val="nil"/>
              <w:bottom w:val="nil"/>
              <w:right w:val="nil"/>
            </w:tcBorders>
            <w:shd w:val="clear" w:color="auto" w:fill="FFFFFF"/>
            <w:tcMar>
              <w:top w:w="0" w:type="dxa"/>
              <w:left w:w="0" w:type="dxa"/>
              <w:bottom w:w="0" w:type="dxa"/>
              <w:right w:w="0" w:type="dxa"/>
            </w:tcMar>
          </w:tcPr>
          <w:p w14:paraId="4C6BCA8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Low vs moderate trajectory</w:t>
            </w:r>
          </w:p>
        </w:tc>
        <w:tc>
          <w:tcPr>
            <w:tcW w:w="2748" w:type="dxa"/>
            <w:tcBorders>
              <w:top w:val="nil"/>
              <w:left w:val="nil"/>
              <w:bottom w:val="nil"/>
              <w:right w:val="nil"/>
            </w:tcBorders>
            <w:shd w:val="clear" w:color="auto" w:fill="FFFFFF"/>
            <w:tcMar>
              <w:top w:w="0" w:type="dxa"/>
              <w:left w:w="0" w:type="dxa"/>
              <w:bottom w:w="0" w:type="dxa"/>
              <w:right w:w="0" w:type="dxa"/>
            </w:tcMar>
            <w:vAlign w:val="center"/>
          </w:tcPr>
          <w:p w14:paraId="208C50C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Intermediate profile</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Advantaged profile</w:t>
            </w:r>
          </w:p>
        </w:tc>
        <w:tc>
          <w:tcPr>
            <w:tcW w:w="1572" w:type="dxa"/>
            <w:tcBorders>
              <w:top w:val="nil"/>
              <w:left w:val="nil"/>
              <w:bottom w:val="nil"/>
              <w:right w:val="nil"/>
            </w:tcBorders>
            <w:shd w:val="clear" w:color="auto" w:fill="FFFFFF"/>
            <w:tcMar>
              <w:top w:w="0" w:type="dxa"/>
              <w:left w:w="0" w:type="dxa"/>
              <w:bottom w:w="0" w:type="dxa"/>
              <w:right w:w="0" w:type="dxa"/>
            </w:tcMar>
            <w:vAlign w:val="center"/>
          </w:tcPr>
          <w:p w14:paraId="42383AE5">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aRRR</w:t>
            </w:r>
          </w:p>
        </w:tc>
        <w:tc>
          <w:tcPr>
            <w:tcW w:w="1624" w:type="dxa"/>
            <w:tcBorders>
              <w:top w:val="nil"/>
              <w:left w:val="nil"/>
              <w:bottom w:val="nil"/>
              <w:right w:val="nil"/>
            </w:tcBorders>
            <w:shd w:val="clear" w:color="auto" w:fill="FFFFFF"/>
            <w:tcMar>
              <w:top w:w="0" w:type="dxa"/>
              <w:left w:w="0" w:type="dxa"/>
              <w:bottom w:w="0" w:type="dxa"/>
              <w:right w:w="0" w:type="dxa"/>
            </w:tcMar>
            <w:vAlign w:val="center"/>
          </w:tcPr>
          <w:p w14:paraId="38B1DABE">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0.828</w:t>
            </w:r>
          </w:p>
        </w:tc>
        <w:tc>
          <w:tcPr>
            <w:tcW w:w="1932" w:type="dxa"/>
            <w:tcBorders>
              <w:top w:val="nil"/>
              <w:left w:val="nil"/>
              <w:bottom w:val="nil"/>
              <w:right w:val="nil"/>
            </w:tcBorders>
            <w:shd w:val="clear" w:color="auto" w:fill="FFFFFF"/>
            <w:tcMar>
              <w:top w:w="0" w:type="dxa"/>
              <w:left w:w="0" w:type="dxa"/>
              <w:bottom w:w="0" w:type="dxa"/>
              <w:right w:w="0" w:type="dxa"/>
            </w:tcMar>
            <w:vAlign w:val="center"/>
          </w:tcPr>
          <w:p w14:paraId="7427D08C">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(0.634, 1.082)</w:t>
            </w:r>
          </w:p>
        </w:tc>
        <w:tc>
          <w:tcPr>
            <w:tcW w:w="1459" w:type="dxa"/>
            <w:tcBorders>
              <w:top w:val="nil"/>
              <w:left w:val="nil"/>
              <w:bottom w:val="nil"/>
              <w:right w:val="nil"/>
            </w:tcBorders>
            <w:shd w:val="clear" w:color="auto" w:fill="FFFFFF"/>
            <w:tcMar>
              <w:top w:w="0" w:type="dxa"/>
              <w:left w:w="0" w:type="dxa"/>
              <w:bottom w:w="0" w:type="dxa"/>
              <w:right w:w="0" w:type="dxa"/>
            </w:tcMar>
            <w:vAlign w:val="center"/>
          </w:tcPr>
          <w:p w14:paraId="0E1C01E4">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0.166</w:t>
            </w:r>
          </w:p>
        </w:tc>
      </w:tr>
      <w:tr w14:paraId="3851F24D">
        <w:tblPrEx>
          <w:tblCellMar>
            <w:top w:w="0" w:type="dxa"/>
            <w:left w:w="108" w:type="dxa"/>
            <w:bottom w:w="0" w:type="dxa"/>
            <w:right w:w="108" w:type="dxa"/>
          </w:tblCellMar>
        </w:tblPrEx>
        <w:trPr>
          <w:trHeight w:val="236" w:hRule="atLeast"/>
          <w:jc w:val="center"/>
        </w:trPr>
        <w:tc>
          <w:tcPr>
            <w:tcW w:w="3757" w:type="dxa"/>
            <w:vMerge w:val="continue"/>
            <w:tcBorders>
              <w:top w:val="nil"/>
              <w:left w:val="nil"/>
              <w:bottom w:val="nil"/>
              <w:right w:val="nil"/>
            </w:tcBorders>
            <w:shd w:val="clear" w:color="auto" w:fill="FFFFFF"/>
            <w:tcMar>
              <w:top w:w="0" w:type="dxa"/>
              <w:left w:w="0" w:type="dxa"/>
              <w:bottom w:w="0" w:type="dxa"/>
              <w:right w:w="0" w:type="dxa"/>
            </w:tcMar>
          </w:tcPr>
          <w:p w14:paraId="10AFC739">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1968" w:type="dxa"/>
            <w:vMerge w:val="continue"/>
            <w:tcBorders>
              <w:top w:val="nil"/>
              <w:left w:val="nil"/>
              <w:bottom w:val="nil"/>
              <w:right w:val="nil"/>
            </w:tcBorders>
            <w:shd w:val="clear" w:color="auto" w:fill="FFFFFF"/>
            <w:tcMar>
              <w:top w:w="0" w:type="dxa"/>
              <w:left w:w="0" w:type="dxa"/>
              <w:bottom w:w="0" w:type="dxa"/>
              <w:right w:w="0" w:type="dxa"/>
            </w:tcMar>
          </w:tcPr>
          <w:p w14:paraId="279DA90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748" w:type="dxa"/>
            <w:tcBorders>
              <w:top w:val="nil"/>
              <w:left w:val="nil"/>
              <w:bottom w:val="nil"/>
              <w:right w:val="nil"/>
            </w:tcBorders>
            <w:shd w:val="clear" w:color="auto" w:fill="FFFFFF"/>
            <w:tcMar>
              <w:top w:w="0" w:type="dxa"/>
              <w:left w:w="0" w:type="dxa"/>
              <w:bottom w:w="0" w:type="dxa"/>
              <w:right w:w="0" w:type="dxa"/>
            </w:tcMar>
            <w:vAlign w:val="center"/>
          </w:tcPr>
          <w:p w14:paraId="73690141">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Disadvantaged profile</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Advantaged profile</w:t>
            </w:r>
          </w:p>
        </w:tc>
        <w:tc>
          <w:tcPr>
            <w:tcW w:w="1572" w:type="dxa"/>
            <w:tcBorders>
              <w:top w:val="nil"/>
              <w:left w:val="nil"/>
              <w:bottom w:val="nil"/>
              <w:right w:val="nil"/>
            </w:tcBorders>
            <w:shd w:val="clear" w:color="auto" w:fill="FFFFFF"/>
            <w:tcMar>
              <w:top w:w="0" w:type="dxa"/>
              <w:left w:w="0" w:type="dxa"/>
              <w:bottom w:w="0" w:type="dxa"/>
              <w:right w:w="0" w:type="dxa"/>
            </w:tcMar>
            <w:vAlign w:val="center"/>
          </w:tcPr>
          <w:p w14:paraId="6C14AEF0">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aRRR</w:t>
            </w:r>
          </w:p>
        </w:tc>
        <w:tc>
          <w:tcPr>
            <w:tcW w:w="1624" w:type="dxa"/>
            <w:tcBorders>
              <w:top w:val="nil"/>
              <w:left w:val="nil"/>
              <w:bottom w:val="nil"/>
              <w:right w:val="nil"/>
            </w:tcBorders>
            <w:shd w:val="clear" w:color="auto" w:fill="FFFFFF"/>
            <w:tcMar>
              <w:top w:w="0" w:type="dxa"/>
              <w:left w:w="0" w:type="dxa"/>
              <w:bottom w:w="0" w:type="dxa"/>
              <w:right w:w="0" w:type="dxa"/>
            </w:tcMar>
            <w:vAlign w:val="center"/>
          </w:tcPr>
          <w:p w14:paraId="3D8190E5">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0.771</w:t>
            </w:r>
          </w:p>
        </w:tc>
        <w:tc>
          <w:tcPr>
            <w:tcW w:w="1932" w:type="dxa"/>
            <w:tcBorders>
              <w:top w:val="nil"/>
              <w:left w:val="nil"/>
              <w:bottom w:val="nil"/>
              <w:right w:val="nil"/>
            </w:tcBorders>
            <w:shd w:val="clear" w:color="auto" w:fill="FFFFFF"/>
            <w:tcMar>
              <w:top w:w="0" w:type="dxa"/>
              <w:left w:w="0" w:type="dxa"/>
              <w:bottom w:w="0" w:type="dxa"/>
              <w:right w:w="0" w:type="dxa"/>
            </w:tcMar>
            <w:vAlign w:val="center"/>
          </w:tcPr>
          <w:p w14:paraId="13F1EDA7">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(0.582, 1.020)</w:t>
            </w:r>
          </w:p>
        </w:tc>
        <w:tc>
          <w:tcPr>
            <w:tcW w:w="1459" w:type="dxa"/>
            <w:tcBorders>
              <w:top w:val="nil"/>
              <w:left w:val="nil"/>
              <w:bottom w:val="nil"/>
              <w:right w:val="nil"/>
            </w:tcBorders>
            <w:shd w:val="clear" w:color="auto" w:fill="FFFFFF"/>
            <w:tcMar>
              <w:top w:w="0" w:type="dxa"/>
              <w:left w:w="0" w:type="dxa"/>
              <w:bottom w:w="0" w:type="dxa"/>
              <w:right w:w="0" w:type="dxa"/>
            </w:tcMar>
            <w:vAlign w:val="center"/>
          </w:tcPr>
          <w:p w14:paraId="3357EFAF">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0.068</w:t>
            </w:r>
          </w:p>
        </w:tc>
      </w:tr>
      <w:tr w14:paraId="4518EF3A">
        <w:tblPrEx>
          <w:tblCellMar>
            <w:top w:w="0" w:type="dxa"/>
            <w:left w:w="108" w:type="dxa"/>
            <w:bottom w:w="0" w:type="dxa"/>
            <w:right w:w="108" w:type="dxa"/>
          </w:tblCellMar>
        </w:tblPrEx>
        <w:trPr>
          <w:trHeight w:val="23" w:hRule="atLeast"/>
          <w:jc w:val="center"/>
        </w:trPr>
        <w:tc>
          <w:tcPr>
            <w:tcW w:w="3757" w:type="dxa"/>
            <w:vMerge w:val="continue"/>
            <w:tcBorders>
              <w:top w:val="nil"/>
              <w:left w:val="nil"/>
              <w:bottom w:val="nil"/>
              <w:right w:val="nil"/>
            </w:tcBorders>
            <w:shd w:val="clear" w:color="auto" w:fill="FFFFFF"/>
            <w:tcMar>
              <w:top w:w="0" w:type="dxa"/>
              <w:left w:w="0" w:type="dxa"/>
              <w:bottom w:w="0" w:type="dxa"/>
              <w:right w:w="0" w:type="dxa"/>
            </w:tcMar>
          </w:tcPr>
          <w:p w14:paraId="005C8132">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1968" w:type="dxa"/>
            <w:vMerge w:val="restart"/>
            <w:tcBorders>
              <w:top w:val="nil"/>
              <w:left w:val="nil"/>
              <w:bottom w:val="nil"/>
              <w:right w:val="nil"/>
            </w:tcBorders>
            <w:shd w:val="clear" w:color="auto" w:fill="FFFFFF"/>
            <w:tcMar>
              <w:top w:w="0" w:type="dxa"/>
              <w:left w:w="0" w:type="dxa"/>
              <w:bottom w:w="0" w:type="dxa"/>
              <w:right w:w="0" w:type="dxa"/>
            </w:tcMar>
          </w:tcPr>
          <w:p w14:paraId="7D7E9BB3">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High vs moderate trajectory</w:t>
            </w:r>
          </w:p>
        </w:tc>
        <w:tc>
          <w:tcPr>
            <w:tcW w:w="2748" w:type="dxa"/>
            <w:tcBorders>
              <w:top w:val="nil"/>
              <w:left w:val="nil"/>
              <w:bottom w:val="nil"/>
              <w:right w:val="nil"/>
            </w:tcBorders>
            <w:shd w:val="clear" w:color="auto" w:fill="FFFFFF"/>
            <w:tcMar>
              <w:top w:w="0" w:type="dxa"/>
              <w:left w:w="0" w:type="dxa"/>
              <w:bottom w:w="0" w:type="dxa"/>
              <w:right w:w="0" w:type="dxa"/>
            </w:tcMar>
            <w:vAlign w:val="center"/>
          </w:tcPr>
          <w:p w14:paraId="52C5284B">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Intermediate profile</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Advantaged profile</w:t>
            </w:r>
          </w:p>
        </w:tc>
        <w:tc>
          <w:tcPr>
            <w:tcW w:w="1572" w:type="dxa"/>
            <w:tcBorders>
              <w:top w:val="nil"/>
              <w:left w:val="nil"/>
              <w:bottom w:val="nil"/>
              <w:right w:val="nil"/>
            </w:tcBorders>
            <w:shd w:val="clear" w:color="auto" w:fill="FFFFFF"/>
            <w:tcMar>
              <w:top w:w="0" w:type="dxa"/>
              <w:left w:w="0" w:type="dxa"/>
              <w:bottom w:w="0" w:type="dxa"/>
              <w:right w:w="0" w:type="dxa"/>
            </w:tcMar>
            <w:vAlign w:val="center"/>
          </w:tcPr>
          <w:p w14:paraId="18E0C7F2">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aRRR</w:t>
            </w:r>
          </w:p>
        </w:tc>
        <w:tc>
          <w:tcPr>
            <w:tcW w:w="1624" w:type="dxa"/>
            <w:tcBorders>
              <w:top w:val="nil"/>
              <w:left w:val="nil"/>
              <w:bottom w:val="nil"/>
              <w:right w:val="nil"/>
            </w:tcBorders>
            <w:shd w:val="clear" w:color="auto" w:fill="FFFFFF"/>
            <w:tcMar>
              <w:top w:w="0" w:type="dxa"/>
              <w:left w:w="0" w:type="dxa"/>
              <w:bottom w:w="0" w:type="dxa"/>
              <w:right w:w="0" w:type="dxa"/>
            </w:tcMar>
            <w:vAlign w:val="center"/>
          </w:tcPr>
          <w:p w14:paraId="375F46D2">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1.428</w:t>
            </w:r>
          </w:p>
        </w:tc>
        <w:tc>
          <w:tcPr>
            <w:tcW w:w="1932" w:type="dxa"/>
            <w:tcBorders>
              <w:top w:val="nil"/>
              <w:left w:val="nil"/>
              <w:bottom w:val="nil"/>
              <w:right w:val="nil"/>
            </w:tcBorders>
            <w:shd w:val="clear" w:color="auto" w:fill="FFFFFF"/>
            <w:tcMar>
              <w:top w:w="0" w:type="dxa"/>
              <w:left w:w="0" w:type="dxa"/>
              <w:bottom w:w="0" w:type="dxa"/>
              <w:right w:w="0" w:type="dxa"/>
            </w:tcMar>
            <w:vAlign w:val="center"/>
          </w:tcPr>
          <w:p w14:paraId="127C067A">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(0.977, 2.089)</w:t>
            </w:r>
          </w:p>
        </w:tc>
        <w:tc>
          <w:tcPr>
            <w:tcW w:w="1459" w:type="dxa"/>
            <w:tcBorders>
              <w:top w:val="nil"/>
              <w:left w:val="nil"/>
              <w:bottom w:val="nil"/>
              <w:right w:val="nil"/>
            </w:tcBorders>
            <w:shd w:val="clear" w:color="auto" w:fill="FFFFFF"/>
            <w:tcMar>
              <w:top w:w="0" w:type="dxa"/>
              <w:left w:w="0" w:type="dxa"/>
              <w:bottom w:w="0" w:type="dxa"/>
              <w:right w:w="0" w:type="dxa"/>
            </w:tcMar>
            <w:vAlign w:val="center"/>
          </w:tcPr>
          <w:p w14:paraId="2310D736">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0.066</w:t>
            </w:r>
          </w:p>
        </w:tc>
      </w:tr>
      <w:tr w14:paraId="044ADE79">
        <w:tblPrEx>
          <w:tblCellMar>
            <w:top w:w="0" w:type="dxa"/>
            <w:left w:w="108" w:type="dxa"/>
            <w:bottom w:w="0" w:type="dxa"/>
            <w:right w:w="108" w:type="dxa"/>
          </w:tblCellMar>
        </w:tblPrEx>
        <w:trPr>
          <w:trHeight w:val="23" w:hRule="atLeast"/>
          <w:jc w:val="center"/>
        </w:trPr>
        <w:tc>
          <w:tcPr>
            <w:tcW w:w="3757" w:type="dxa"/>
            <w:vMerge w:val="continue"/>
            <w:tcBorders>
              <w:top w:val="nil"/>
              <w:left w:val="nil"/>
              <w:bottom w:val="nil"/>
              <w:right w:val="nil"/>
            </w:tcBorders>
            <w:shd w:val="clear" w:color="auto" w:fill="FFFFFF"/>
            <w:tcMar>
              <w:top w:w="0" w:type="dxa"/>
              <w:left w:w="0" w:type="dxa"/>
              <w:bottom w:w="0" w:type="dxa"/>
              <w:right w:w="0" w:type="dxa"/>
            </w:tcMar>
          </w:tcPr>
          <w:p w14:paraId="7089362B">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1968" w:type="dxa"/>
            <w:vMerge w:val="continue"/>
            <w:tcBorders>
              <w:top w:val="nil"/>
              <w:left w:val="nil"/>
              <w:bottom w:val="nil"/>
              <w:right w:val="nil"/>
            </w:tcBorders>
            <w:shd w:val="clear" w:color="auto" w:fill="FFFFFF"/>
            <w:tcMar>
              <w:top w:w="0" w:type="dxa"/>
              <w:left w:w="0" w:type="dxa"/>
              <w:bottom w:w="0" w:type="dxa"/>
              <w:right w:w="0" w:type="dxa"/>
            </w:tcMar>
          </w:tcPr>
          <w:p w14:paraId="493FE4E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748" w:type="dxa"/>
            <w:tcBorders>
              <w:top w:val="nil"/>
              <w:left w:val="nil"/>
              <w:bottom w:val="nil"/>
              <w:right w:val="nil"/>
            </w:tcBorders>
            <w:shd w:val="clear" w:color="auto" w:fill="FFFFFF"/>
            <w:tcMar>
              <w:top w:w="0" w:type="dxa"/>
              <w:left w:w="0" w:type="dxa"/>
              <w:bottom w:w="0" w:type="dxa"/>
              <w:right w:w="0" w:type="dxa"/>
            </w:tcMar>
            <w:vAlign w:val="center"/>
          </w:tcPr>
          <w:p w14:paraId="30A99F8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Disadvantaged profile</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Advantaged profile</w:t>
            </w:r>
          </w:p>
        </w:tc>
        <w:tc>
          <w:tcPr>
            <w:tcW w:w="1572" w:type="dxa"/>
            <w:tcBorders>
              <w:top w:val="nil"/>
              <w:left w:val="nil"/>
              <w:bottom w:val="nil"/>
              <w:right w:val="nil"/>
            </w:tcBorders>
            <w:shd w:val="clear" w:color="auto" w:fill="FFFFFF"/>
            <w:tcMar>
              <w:top w:w="0" w:type="dxa"/>
              <w:left w:w="0" w:type="dxa"/>
              <w:bottom w:w="0" w:type="dxa"/>
              <w:right w:w="0" w:type="dxa"/>
            </w:tcMar>
            <w:vAlign w:val="center"/>
          </w:tcPr>
          <w:p w14:paraId="2413EED6">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aRRR</w:t>
            </w:r>
          </w:p>
        </w:tc>
        <w:tc>
          <w:tcPr>
            <w:tcW w:w="1624" w:type="dxa"/>
            <w:tcBorders>
              <w:top w:val="nil"/>
              <w:left w:val="nil"/>
              <w:bottom w:val="nil"/>
              <w:right w:val="nil"/>
            </w:tcBorders>
            <w:shd w:val="clear" w:color="auto" w:fill="FFFFFF"/>
            <w:tcMar>
              <w:top w:w="0" w:type="dxa"/>
              <w:left w:w="0" w:type="dxa"/>
              <w:bottom w:w="0" w:type="dxa"/>
              <w:right w:w="0" w:type="dxa"/>
            </w:tcMar>
            <w:vAlign w:val="center"/>
          </w:tcPr>
          <w:p w14:paraId="09E10C0B">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2.513</w:t>
            </w:r>
          </w:p>
        </w:tc>
        <w:tc>
          <w:tcPr>
            <w:tcW w:w="1932" w:type="dxa"/>
            <w:tcBorders>
              <w:top w:val="nil"/>
              <w:left w:val="nil"/>
              <w:bottom w:val="nil"/>
              <w:right w:val="nil"/>
            </w:tcBorders>
            <w:shd w:val="clear" w:color="auto" w:fill="FFFFFF"/>
            <w:tcMar>
              <w:top w:w="0" w:type="dxa"/>
              <w:left w:w="0" w:type="dxa"/>
              <w:bottom w:w="0" w:type="dxa"/>
              <w:right w:w="0" w:type="dxa"/>
            </w:tcMar>
            <w:vAlign w:val="center"/>
          </w:tcPr>
          <w:p w14:paraId="732E7913">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(1.750, 3.609)</w:t>
            </w:r>
          </w:p>
        </w:tc>
        <w:tc>
          <w:tcPr>
            <w:tcW w:w="1459" w:type="dxa"/>
            <w:tcBorders>
              <w:top w:val="nil"/>
              <w:left w:val="nil"/>
              <w:bottom w:val="nil"/>
              <w:right w:val="nil"/>
            </w:tcBorders>
            <w:shd w:val="clear" w:color="auto" w:fill="FFFFFF"/>
            <w:tcMar>
              <w:top w:w="0" w:type="dxa"/>
              <w:left w:w="0" w:type="dxa"/>
              <w:bottom w:w="0" w:type="dxa"/>
              <w:right w:w="0" w:type="dxa"/>
            </w:tcMar>
            <w:vAlign w:val="center"/>
          </w:tcPr>
          <w:p w14:paraId="52A6438D">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0.001</w:t>
            </w:r>
          </w:p>
        </w:tc>
      </w:tr>
      <w:tr w14:paraId="2166D5C3">
        <w:tblPrEx>
          <w:tblCellMar>
            <w:top w:w="0" w:type="dxa"/>
            <w:left w:w="108" w:type="dxa"/>
            <w:bottom w:w="0" w:type="dxa"/>
            <w:right w:w="108" w:type="dxa"/>
          </w:tblCellMar>
        </w:tblPrEx>
        <w:trPr>
          <w:trHeight w:val="23" w:hRule="atLeast"/>
          <w:jc w:val="center"/>
        </w:trPr>
        <w:tc>
          <w:tcPr>
            <w:tcW w:w="3757" w:type="dxa"/>
            <w:vMerge w:val="restart"/>
            <w:tcBorders>
              <w:top w:val="nil"/>
              <w:left w:val="nil"/>
              <w:bottom w:val="single" w:color="666666" w:sz="12" w:space="0"/>
              <w:right w:val="nil"/>
            </w:tcBorders>
            <w:shd w:val="clear" w:color="auto" w:fill="FFFFFF"/>
            <w:tcMar>
              <w:top w:w="0" w:type="dxa"/>
              <w:left w:w="0" w:type="dxa"/>
              <w:bottom w:w="0" w:type="dxa"/>
              <w:right w:w="0" w:type="dxa"/>
            </w:tcMar>
          </w:tcPr>
          <w:p w14:paraId="0F4533A6">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b/>
                <w:bCs/>
                <w:color w:val="000000"/>
                <w:sz w:val="22"/>
                <w:szCs w:val="22"/>
              </w:rPr>
            </w:pPr>
            <w:r>
              <w:rPr>
                <w:rFonts w:ascii="Times New Roman" w:hAnsi="Times New Roman" w:eastAsia="Arial" w:cs="Times New Roman"/>
                <w:b/>
                <w:bCs/>
                <w:color w:val="000000"/>
                <w:sz w:val="22"/>
                <w:szCs w:val="22"/>
              </w:rPr>
              <w:t xml:space="preserve">Panel C. </w:t>
            </w:r>
          </w:p>
          <w:p w14:paraId="0DE28982">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 xml:space="preserve">Joint associations of </w:t>
            </w:r>
            <w:r>
              <w:rPr>
                <w:rFonts w:hint="eastAsia" w:ascii="Times New Roman" w:hAnsi="Times New Roman" w:eastAsia="宋体" w:cs="Times New Roman"/>
                <w:color w:val="000000"/>
                <w:sz w:val="22"/>
                <w:szCs w:val="22"/>
              </w:rPr>
              <w:t>SDOH profile</w:t>
            </w:r>
            <w:r>
              <w:rPr>
                <w:rFonts w:ascii="Times New Roman" w:hAnsi="Times New Roman" w:eastAsia="Arial" w:cs="Times New Roman"/>
                <w:color w:val="000000"/>
                <w:sz w:val="22"/>
                <w:szCs w:val="22"/>
              </w:rPr>
              <w:t xml:space="preserve"> and GWG trajectories with adverse neonatal outcomes</w:t>
            </w:r>
          </w:p>
        </w:tc>
        <w:tc>
          <w:tcPr>
            <w:tcW w:w="1968" w:type="dxa"/>
            <w:vMerge w:val="restart"/>
            <w:tcBorders>
              <w:top w:val="nil"/>
              <w:left w:val="nil"/>
              <w:bottom w:val="single" w:color="666666" w:sz="12" w:space="0"/>
              <w:right w:val="nil"/>
            </w:tcBorders>
            <w:shd w:val="clear" w:color="auto" w:fill="FFFFFF"/>
            <w:tcMar>
              <w:top w:w="0" w:type="dxa"/>
              <w:left w:w="0" w:type="dxa"/>
              <w:bottom w:w="0" w:type="dxa"/>
              <w:right w:w="0" w:type="dxa"/>
            </w:tcMar>
          </w:tcPr>
          <w:p w14:paraId="104E0CDE">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Composite adverse neonatal outcome</w:t>
            </w:r>
          </w:p>
        </w:tc>
        <w:tc>
          <w:tcPr>
            <w:tcW w:w="2748" w:type="dxa"/>
            <w:tcBorders>
              <w:top w:val="nil"/>
              <w:left w:val="nil"/>
              <w:bottom w:val="nil"/>
              <w:right w:val="nil"/>
            </w:tcBorders>
            <w:shd w:val="clear" w:color="auto" w:fill="FFFFFF"/>
            <w:tcMar>
              <w:top w:w="0" w:type="dxa"/>
              <w:left w:w="0" w:type="dxa"/>
              <w:bottom w:w="0" w:type="dxa"/>
              <w:right w:w="0" w:type="dxa"/>
            </w:tcMar>
            <w:vAlign w:val="center"/>
          </w:tcPr>
          <w:p w14:paraId="615A5F4A">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Intermediate profile</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Advantaged profile</w:t>
            </w:r>
          </w:p>
        </w:tc>
        <w:tc>
          <w:tcPr>
            <w:tcW w:w="1572" w:type="dxa"/>
            <w:tcBorders>
              <w:top w:val="nil"/>
              <w:left w:val="nil"/>
              <w:bottom w:val="nil"/>
              <w:right w:val="nil"/>
            </w:tcBorders>
            <w:shd w:val="clear" w:color="auto" w:fill="FFFFFF"/>
            <w:tcMar>
              <w:top w:w="0" w:type="dxa"/>
              <w:left w:w="0" w:type="dxa"/>
              <w:bottom w:w="0" w:type="dxa"/>
              <w:right w:w="0" w:type="dxa"/>
            </w:tcMar>
            <w:vAlign w:val="center"/>
          </w:tcPr>
          <w:p w14:paraId="47B0D8BC">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aOR</w:t>
            </w:r>
          </w:p>
        </w:tc>
        <w:tc>
          <w:tcPr>
            <w:tcW w:w="1624" w:type="dxa"/>
            <w:tcBorders>
              <w:top w:val="nil"/>
              <w:left w:val="nil"/>
              <w:bottom w:val="nil"/>
              <w:right w:val="nil"/>
            </w:tcBorders>
            <w:shd w:val="clear" w:color="auto" w:fill="FFFFFF"/>
            <w:tcMar>
              <w:top w:w="0" w:type="dxa"/>
              <w:left w:w="0" w:type="dxa"/>
              <w:bottom w:w="0" w:type="dxa"/>
              <w:right w:w="0" w:type="dxa"/>
            </w:tcMar>
            <w:vAlign w:val="center"/>
          </w:tcPr>
          <w:p w14:paraId="05E514E7">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1.178</w:t>
            </w:r>
          </w:p>
        </w:tc>
        <w:tc>
          <w:tcPr>
            <w:tcW w:w="1932" w:type="dxa"/>
            <w:tcBorders>
              <w:top w:val="nil"/>
              <w:left w:val="nil"/>
              <w:bottom w:val="nil"/>
              <w:right w:val="nil"/>
            </w:tcBorders>
            <w:shd w:val="clear" w:color="auto" w:fill="FFFFFF"/>
            <w:tcMar>
              <w:top w:w="0" w:type="dxa"/>
              <w:left w:w="0" w:type="dxa"/>
              <w:bottom w:w="0" w:type="dxa"/>
              <w:right w:w="0" w:type="dxa"/>
            </w:tcMar>
            <w:vAlign w:val="center"/>
          </w:tcPr>
          <w:p w14:paraId="13DA9714">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(0.873, 1.592)</w:t>
            </w:r>
          </w:p>
        </w:tc>
        <w:tc>
          <w:tcPr>
            <w:tcW w:w="1459" w:type="dxa"/>
            <w:tcBorders>
              <w:top w:val="nil"/>
              <w:left w:val="nil"/>
              <w:bottom w:val="nil"/>
              <w:right w:val="nil"/>
            </w:tcBorders>
            <w:shd w:val="clear" w:color="auto" w:fill="FFFFFF"/>
            <w:tcMar>
              <w:top w:w="0" w:type="dxa"/>
              <w:left w:w="0" w:type="dxa"/>
              <w:bottom w:w="0" w:type="dxa"/>
              <w:right w:w="0" w:type="dxa"/>
            </w:tcMar>
            <w:vAlign w:val="center"/>
          </w:tcPr>
          <w:p w14:paraId="0E85043D">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0.285</w:t>
            </w:r>
          </w:p>
        </w:tc>
      </w:tr>
      <w:tr w14:paraId="12945DEF">
        <w:tblPrEx>
          <w:tblCellMar>
            <w:top w:w="0" w:type="dxa"/>
            <w:left w:w="108" w:type="dxa"/>
            <w:bottom w:w="0" w:type="dxa"/>
            <w:right w:w="108" w:type="dxa"/>
          </w:tblCellMar>
        </w:tblPrEx>
        <w:trPr>
          <w:trHeight w:val="23" w:hRule="atLeast"/>
          <w:jc w:val="center"/>
        </w:trPr>
        <w:tc>
          <w:tcPr>
            <w:tcW w:w="3757" w:type="dxa"/>
            <w:vMerge w:val="continue"/>
            <w:tcBorders>
              <w:top w:val="single" w:color="666666" w:sz="12" w:space="0"/>
              <w:left w:val="nil"/>
              <w:bottom w:val="nil"/>
              <w:right w:val="nil"/>
            </w:tcBorders>
            <w:shd w:val="clear" w:color="auto" w:fill="FFFFFF"/>
            <w:tcMar>
              <w:top w:w="0" w:type="dxa"/>
              <w:left w:w="0" w:type="dxa"/>
              <w:bottom w:w="0" w:type="dxa"/>
              <w:right w:w="0" w:type="dxa"/>
            </w:tcMar>
          </w:tcPr>
          <w:p w14:paraId="52E0C71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1968" w:type="dxa"/>
            <w:vMerge w:val="continue"/>
            <w:tcBorders>
              <w:top w:val="single" w:color="666666" w:sz="12" w:space="0"/>
              <w:left w:val="nil"/>
              <w:bottom w:val="nil"/>
              <w:right w:val="nil"/>
            </w:tcBorders>
            <w:shd w:val="clear" w:color="auto" w:fill="FFFFFF"/>
            <w:tcMar>
              <w:top w:w="0" w:type="dxa"/>
              <w:left w:w="0" w:type="dxa"/>
              <w:bottom w:w="0" w:type="dxa"/>
              <w:right w:w="0" w:type="dxa"/>
            </w:tcMar>
          </w:tcPr>
          <w:p w14:paraId="64F2063B">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748" w:type="dxa"/>
            <w:tcBorders>
              <w:top w:val="nil"/>
              <w:left w:val="nil"/>
              <w:bottom w:val="nil"/>
              <w:right w:val="nil"/>
            </w:tcBorders>
            <w:shd w:val="clear" w:color="auto" w:fill="FFFFFF"/>
            <w:tcMar>
              <w:top w:w="0" w:type="dxa"/>
              <w:left w:w="0" w:type="dxa"/>
              <w:bottom w:w="0" w:type="dxa"/>
              <w:right w:w="0" w:type="dxa"/>
            </w:tcMar>
            <w:vAlign w:val="center"/>
          </w:tcPr>
          <w:p w14:paraId="4751E0D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Disadvantaged profile</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Advantaged profile</w:t>
            </w:r>
          </w:p>
        </w:tc>
        <w:tc>
          <w:tcPr>
            <w:tcW w:w="1572" w:type="dxa"/>
            <w:tcBorders>
              <w:top w:val="nil"/>
              <w:left w:val="nil"/>
              <w:bottom w:val="nil"/>
              <w:right w:val="nil"/>
            </w:tcBorders>
            <w:shd w:val="clear" w:color="auto" w:fill="FFFFFF"/>
            <w:tcMar>
              <w:top w:w="0" w:type="dxa"/>
              <w:left w:w="0" w:type="dxa"/>
              <w:bottom w:w="0" w:type="dxa"/>
              <w:right w:w="0" w:type="dxa"/>
            </w:tcMar>
            <w:vAlign w:val="center"/>
          </w:tcPr>
          <w:p w14:paraId="6F7A14DD">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aOR</w:t>
            </w:r>
          </w:p>
        </w:tc>
        <w:tc>
          <w:tcPr>
            <w:tcW w:w="1624" w:type="dxa"/>
            <w:tcBorders>
              <w:top w:val="nil"/>
              <w:left w:val="nil"/>
              <w:bottom w:val="nil"/>
              <w:right w:val="nil"/>
            </w:tcBorders>
            <w:shd w:val="clear" w:color="auto" w:fill="FFFFFF"/>
            <w:tcMar>
              <w:top w:w="0" w:type="dxa"/>
              <w:left w:w="0" w:type="dxa"/>
              <w:bottom w:w="0" w:type="dxa"/>
              <w:right w:w="0" w:type="dxa"/>
            </w:tcMar>
            <w:vAlign w:val="center"/>
          </w:tcPr>
          <w:p w14:paraId="3E53807E">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1.437</w:t>
            </w:r>
          </w:p>
        </w:tc>
        <w:tc>
          <w:tcPr>
            <w:tcW w:w="1932" w:type="dxa"/>
            <w:tcBorders>
              <w:top w:val="nil"/>
              <w:left w:val="nil"/>
              <w:bottom w:val="nil"/>
              <w:right w:val="nil"/>
            </w:tcBorders>
            <w:shd w:val="clear" w:color="auto" w:fill="FFFFFF"/>
            <w:tcMar>
              <w:top w:w="0" w:type="dxa"/>
              <w:left w:w="0" w:type="dxa"/>
              <w:bottom w:w="0" w:type="dxa"/>
              <w:right w:w="0" w:type="dxa"/>
            </w:tcMar>
            <w:vAlign w:val="center"/>
          </w:tcPr>
          <w:p w14:paraId="647CF3F9">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(1.067, 1.938)</w:t>
            </w:r>
          </w:p>
        </w:tc>
        <w:tc>
          <w:tcPr>
            <w:tcW w:w="1459" w:type="dxa"/>
            <w:tcBorders>
              <w:top w:val="nil"/>
              <w:left w:val="nil"/>
              <w:bottom w:val="nil"/>
              <w:right w:val="nil"/>
            </w:tcBorders>
            <w:shd w:val="clear" w:color="auto" w:fill="FFFFFF"/>
            <w:tcMar>
              <w:top w:w="0" w:type="dxa"/>
              <w:left w:w="0" w:type="dxa"/>
              <w:bottom w:w="0" w:type="dxa"/>
              <w:right w:w="0" w:type="dxa"/>
            </w:tcMar>
            <w:vAlign w:val="center"/>
          </w:tcPr>
          <w:p w14:paraId="7CAE6135">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0.017</w:t>
            </w:r>
          </w:p>
        </w:tc>
      </w:tr>
      <w:tr w14:paraId="78E2CA38">
        <w:tblPrEx>
          <w:tblCellMar>
            <w:top w:w="0" w:type="dxa"/>
            <w:left w:w="108" w:type="dxa"/>
            <w:bottom w:w="0" w:type="dxa"/>
            <w:right w:w="108" w:type="dxa"/>
          </w:tblCellMar>
        </w:tblPrEx>
        <w:trPr>
          <w:trHeight w:val="23" w:hRule="atLeast"/>
          <w:jc w:val="center"/>
        </w:trPr>
        <w:tc>
          <w:tcPr>
            <w:tcW w:w="3757" w:type="dxa"/>
            <w:vMerge w:val="continue"/>
            <w:tcBorders>
              <w:top w:val="nil"/>
              <w:left w:val="nil"/>
              <w:bottom w:val="nil"/>
              <w:right w:val="nil"/>
            </w:tcBorders>
            <w:shd w:val="clear" w:color="auto" w:fill="FFFFFF"/>
            <w:tcMar>
              <w:top w:w="0" w:type="dxa"/>
              <w:left w:w="0" w:type="dxa"/>
              <w:bottom w:w="0" w:type="dxa"/>
              <w:right w:w="0" w:type="dxa"/>
            </w:tcMar>
          </w:tcPr>
          <w:p w14:paraId="004E0E49">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1968" w:type="dxa"/>
            <w:vMerge w:val="continue"/>
            <w:tcBorders>
              <w:top w:val="nil"/>
              <w:left w:val="nil"/>
              <w:bottom w:val="nil"/>
              <w:right w:val="nil"/>
            </w:tcBorders>
            <w:shd w:val="clear" w:color="auto" w:fill="FFFFFF"/>
            <w:tcMar>
              <w:top w:w="0" w:type="dxa"/>
              <w:left w:w="0" w:type="dxa"/>
              <w:bottom w:w="0" w:type="dxa"/>
              <w:right w:w="0" w:type="dxa"/>
            </w:tcMar>
          </w:tcPr>
          <w:p w14:paraId="250B072D">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748" w:type="dxa"/>
            <w:tcBorders>
              <w:top w:val="nil"/>
              <w:left w:val="nil"/>
              <w:bottom w:val="nil"/>
              <w:right w:val="nil"/>
            </w:tcBorders>
            <w:shd w:val="clear" w:color="auto" w:fill="FFFFFF"/>
            <w:tcMar>
              <w:top w:w="0" w:type="dxa"/>
              <w:left w:w="0" w:type="dxa"/>
              <w:bottom w:w="0" w:type="dxa"/>
              <w:right w:w="0" w:type="dxa"/>
            </w:tcMar>
            <w:vAlign w:val="center"/>
          </w:tcPr>
          <w:p w14:paraId="4524FC5F">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Low vs moderate trajectory</w:t>
            </w:r>
          </w:p>
        </w:tc>
        <w:tc>
          <w:tcPr>
            <w:tcW w:w="1572" w:type="dxa"/>
            <w:tcBorders>
              <w:top w:val="nil"/>
              <w:left w:val="nil"/>
              <w:bottom w:val="nil"/>
              <w:right w:val="nil"/>
            </w:tcBorders>
            <w:shd w:val="clear" w:color="auto" w:fill="FFFFFF"/>
            <w:tcMar>
              <w:top w:w="0" w:type="dxa"/>
              <w:left w:w="0" w:type="dxa"/>
              <w:bottom w:w="0" w:type="dxa"/>
              <w:right w:w="0" w:type="dxa"/>
            </w:tcMar>
            <w:vAlign w:val="center"/>
          </w:tcPr>
          <w:p w14:paraId="155F86AE">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aOR</w:t>
            </w:r>
          </w:p>
        </w:tc>
        <w:tc>
          <w:tcPr>
            <w:tcW w:w="1624" w:type="dxa"/>
            <w:tcBorders>
              <w:top w:val="nil"/>
              <w:left w:val="nil"/>
              <w:bottom w:val="nil"/>
              <w:right w:val="nil"/>
            </w:tcBorders>
            <w:shd w:val="clear" w:color="auto" w:fill="FFFFFF"/>
            <w:tcMar>
              <w:top w:w="0" w:type="dxa"/>
              <w:left w:w="0" w:type="dxa"/>
              <w:bottom w:w="0" w:type="dxa"/>
              <w:right w:w="0" w:type="dxa"/>
            </w:tcMar>
            <w:vAlign w:val="center"/>
          </w:tcPr>
          <w:p w14:paraId="7D3702E0">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0.662</w:t>
            </w:r>
          </w:p>
        </w:tc>
        <w:tc>
          <w:tcPr>
            <w:tcW w:w="1932" w:type="dxa"/>
            <w:tcBorders>
              <w:top w:val="nil"/>
              <w:left w:val="nil"/>
              <w:bottom w:val="nil"/>
              <w:right w:val="nil"/>
            </w:tcBorders>
            <w:shd w:val="clear" w:color="auto" w:fill="FFFFFF"/>
            <w:tcMar>
              <w:top w:w="0" w:type="dxa"/>
              <w:left w:w="0" w:type="dxa"/>
              <w:bottom w:w="0" w:type="dxa"/>
              <w:right w:w="0" w:type="dxa"/>
            </w:tcMar>
            <w:vAlign w:val="center"/>
          </w:tcPr>
          <w:p w14:paraId="2C39692C">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(0.496, 0.879)</w:t>
            </w:r>
          </w:p>
        </w:tc>
        <w:tc>
          <w:tcPr>
            <w:tcW w:w="1459" w:type="dxa"/>
            <w:tcBorders>
              <w:top w:val="nil"/>
              <w:left w:val="nil"/>
              <w:bottom w:val="nil"/>
              <w:right w:val="nil"/>
            </w:tcBorders>
            <w:shd w:val="clear" w:color="auto" w:fill="FFFFFF"/>
            <w:tcMar>
              <w:top w:w="0" w:type="dxa"/>
              <w:left w:w="0" w:type="dxa"/>
              <w:bottom w:w="0" w:type="dxa"/>
              <w:right w:w="0" w:type="dxa"/>
            </w:tcMar>
            <w:vAlign w:val="center"/>
          </w:tcPr>
          <w:p w14:paraId="27334944">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0.005</w:t>
            </w:r>
          </w:p>
        </w:tc>
      </w:tr>
      <w:tr w14:paraId="1628AF67">
        <w:tblPrEx>
          <w:tblCellMar>
            <w:top w:w="0" w:type="dxa"/>
            <w:left w:w="108" w:type="dxa"/>
            <w:bottom w:w="0" w:type="dxa"/>
            <w:right w:w="108" w:type="dxa"/>
          </w:tblCellMar>
        </w:tblPrEx>
        <w:trPr>
          <w:trHeight w:val="23" w:hRule="atLeast"/>
          <w:jc w:val="center"/>
        </w:trPr>
        <w:tc>
          <w:tcPr>
            <w:tcW w:w="3757" w:type="dxa"/>
            <w:vMerge w:val="continue"/>
            <w:tcBorders>
              <w:top w:val="nil"/>
              <w:left w:val="nil"/>
              <w:bottom w:val="single" w:color="666666" w:sz="12" w:space="0"/>
              <w:right w:val="nil"/>
            </w:tcBorders>
            <w:shd w:val="clear" w:color="auto" w:fill="FFFFFF"/>
            <w:tcMar>
              <w:top w:w="0" w:type="dxa"/>
              <w:left w:w="0" w:type="dxa"/>
              <w:bottom w:w="0" w:type="dxa"/>
              <w:right w:w="0" w:type="dxa"/>
            </w:tcMar>
          </w:tcPr>
          <w:p w14:paraId="60BC8E63">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1968" w:type="dxa"/>
            <w:vMerge w:val="continue"/>
            <w:tcBorders>
              <w:top w:val="nil"/>
              <w:left w:val="nil"/>
              <w:bottom w:val="single" w:color="666666" w:sz="12" w:space="0"/>
              <w:right w:val="nil"/>
            </w:tcBorders>
            <w:shd w:val="clear" w:color="auto" w:fill="FFFFFF"/>
            <w:tcMar>
              <w:top w:w="0" w:type="dxa"/>
              <w:left w:w="0" w:type="dxa"/>
              <w:bottom w:w="0" w:type="dxa"/>
              <w:right w:w="0" w:type="dxa"/>
            </w:tcMar>
          </w:tcPr>
          <w:p w14:paraId="4AB0F508">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p>
        </w:tc>
        <w:tc>
          <w:tcPr>
            <w:tcW w:w="2748"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162BB454">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High vs moderate trajectory</w:t>
            </w:r>
          </w:p>
        </w:tc>
        <w:tc>
          <w:tcPr>
            <w:tcW w:w="1572"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655BC0B5">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aOR</w:t>
            </w:r>
          </w:p>
        </w:tc>
        <w:tc>
          <w:tcPr>
            <w:tcW w:w="1624"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0B220C63">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2.213</w:t>
            </w:r>
          </w:p>
        </w:tc>
        <w:tc>
          <w:tcPr>
            <w:tcW w:w="1932"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1B2285EB">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(1.627, 3.008)</w:t>
            </w:r>
          </w:p>
        </w:tc>
        <w:tc>
          <w:tcPr>
            <w:tcW w:w="1459"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27CC57ED">
            <w:pPr>
              <w:pBdr>
                <w:top w:val="none" w:color="000000" w:sz="0" w:space="0"/>
                <w:left w:val="none" w:color="000000" w:sz="0" w:space="0"/>
                <w:bottom w:val="none" w:color="000000" w:sz="0" w:space="0"/>
                <w:right w:val="none" w:color="000000" w:sz="0" w:space="0"/>
              </w:pBdr>
              <w:spacing w:before="40" w:after="40"/>
              <w:ind w:left="102" w:right="102"/>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0</w:t>
            </w:r>
            <w:r>
              <w:rPr>
                <w:rFonts w:ascii="Times New Roman" w:hAnsi="Times New Roman" w:eastAsia="Arial" w:cs="Times New Roman"/>
                <w:color w:val="000000"/>
                <w:sz w:val="22"/>
                <w:szCs w:val="22"/>
              </w:rPr>
              <w:t>1</w:t>
            </w:r>
          </w:p>
        </w:tc>
      </w:tr>
      <w:tr w14:paraId="23301EF3">
        <w:tblPrEx>
          <w:tblCellMar>
            <w:top w:w="0" w:type="dxa"/>
            <w:left w:w="108" w:type="dxa"/>
            <w:bottom w:w="0" w:type="dxa"/>
            <w:right w:w="108" w:type="dxa"/>
          </w:tblCellMar>
        </w:tblPrEx>
        <w:trPr>
          <w:trHeight w:val="23" w:hRule="atLeast"/>
          <w:jc w:val="center"/>
        </w:trPr>
        <w:tc>
          <w:tcPr>
            <w:tcW w:w="15060" w:type="dxa"/>
            <w:gridSpan w:val="7"/>
            <w:tcBorders>
              <w:top w:val="single" w:color="666666" w:sz="12" w:space="0"/>
              <w:left w:val="nil"/>
              <w:bottom w:val="nil"/>
              <w:right w:val="nil"/>
            </w:tcBorders>
            <w:shd w:val="clear" w:color="auto" w:fill="FFFFFF"/>
            <w:tcMar>
              <w:top w:w="0" w:type="dxa"/>
              <w:left w:w="0" w:type="dxa"/>
              <w:bottom w:w="0" w:type="dxa"/>
              <w:right w:w="0" w:type="dxa"/>
            </w:tcMar>
            <w:vAlign w:val="center"/>
          </w:tcPr>
          <w:p w14:paraId="376AF5E2">
            <w:pPr>
              <w:pBdr>
                <w:top w:val="none" w:color="000000" w:sz="0" w:space="0"/>
                <w:left w:val="none" w:color="000000" w:sz="0" w:space="0"/>
                <w:bottom w:val="none" w:color="000000" w:sz="0" w:space="0"/>
                <w:right w:val="none" w:color="000000" w:sz="0" w:space="0"/>
              </w:pBdr>
              <w:spacing w:before="40" w:after="40"/>
              <w:ind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Abbreviations: SDOH, social determinants of health; GWG, gestational weight gain; aOR, adjusted odds ratio; aRRR, adjusted relative risk ratio; CI, confidence interval.</w:t>
            </w:r>
          </w:p>
        </w:tc>
      </w:tr>
      <w:tr w14:paraId="2111D3EC">
        <w:tblPrEx>
          <w:tblCellMar>
            <w:top w:w="0" w:type="dxa"/>
            <w:left w:w="108" w:type="dxa"/>
            <w:bottom w:w="0" w:type="dxa"/>
            <w:right w:w="108" w:type="dxa"/>
          </w:tblCellMar>
        </w:tblPrEx>
        <w:trPr>
          <w:trHeight w:val="23" w:hRule="atLeast"/>
          <w:jc w:val="center"/>
        </w:trPr>
        <w:tc>
          <w:tcPr>
            <w:tcW w:w="15060" w:type="dxa"/>
            <w:gridSpan w:val="7"/>
            <w:tcBorders>
              <w:top w:val="nil"/>
              <w:left w:val="nil"/>
              <w:bottom w:val="nil"/>
              <w:right w:val="nil"/>
            </w:tcBorders>
            <w:shd w:val="clear" w:color="auto" w:fill="FFFFFF"/>
            <w:tcMar>
              <w:top w:w="0" w:type="dxa"/>
              <w:left w:w="0" w:type="dxa"/>
              <w:bottom w:w="0" w:type="dxa"/>
              <w:right w:w="0" w:type="dxa"/>
            </w:tcMar>
            <w:vAlign w:val="center"/>
          </w:tcPr>
          <w:p w14:paraId="010BFA74">
            <w:r>
              <w:rPr>
                <w:rFonts w:ascii="Times New Roman" w:hAnsi="Times New Roman" w:eastAsia="Arial" w:cs="Times New Roman"/>
                <w:color w:val="000000"/>
                <w:sz w:val="22"/>
                <w:szCs w:val="22"/>
              </w:rPr>
              <w:t>The moderate GWG trajectory was used as the reference category.</w:t>
            </w:r>
          </w:p>
        </w:tc>
      </w:tr>
    </w:tbl>
    <w:p w14:paraId="4F4E2C63">
      <w:pPr>
        <w:rPr>
          <w:rFonts w:ascii="Times New Roman" w:hAnsi="Times New Roman" w:cs="Times New Roman"/>
          <w:b/>
          <w:bCs/>
          <w:color w:val="000000" w:themeColor="text1"/>
          <w:sz w:val="24"/>
          <w14:textFill>
            <w14:solidFill>
              <w14:schemeClr w14:val="tx1"/>
            </w14:solidFill>
          </w14:textFill>
          <w14:ligatures w14:val="standardContextual"/>
        </w:rPr>
      </w:pPr>
    </w:p>
    <w:p w14:paraId="3ECE8011">
      <w:pPr>
        <w:pStyle w:val="4"/>
        <w:keepNext/>
        <w:pBdr>
          <w:top w:val="none" w:color="000000" w:sz="0" w:space="0"/>
          <w:left w:val="none" w:color="000000" w:sz="0" w:space="0"/>
          <w:bottom w:val="none" w:color="000000" w:sz="0" w:space="0"/>
          <w:right w:val="none" w:color="000000" w:sz="0" w:space="0"/>
        </w:pBdr>
        <w:spacing w:before="60" w:after="60"/>
        <w:ind w:right="60"/>
        <w:jc w:val="both"/>
        <w:rPr>
          <w:rFonts w:ascii="Times New Roman" w:hAnsi="Times New Roman" w:cs="Times New Roman"/>
          <w:i w:val="0"/>
          <w:iCs/>
          <w:sz w:val="24"/>
        </w:rPr>
      </w:pPr>
      <w:r>
        <w:rPr>
          <w:rFonts w:ascii="Times New Roman" w:hAnsi="Times New Roman" w:cs="Times New Roman"/>
          <w:i w:val="0"/>
          <w:iCs/>
          <w:sz w:val="24"/>
        </w:rPr>
        <w:t>Supplementary Table S</w:t>
      </w:r>
      <w:r>
        <w:rPr>
          <w:rFonts w:hint="eastAsia" w:ascii="Times New Roman" w:hAnsi="Times New Roman" w:cs="Times New Roman"/>
          <w:i w:val="0"/>
          <w:iCs/>
          <w:sz w:val="24"/>
          <w:lang w:val="en-US" w:eastAsia="zh-CN"/>
        </w:rPr>
        <w:t>5</w:t>
      </w:r>
      <w:r>
        <w:rPr>
          <w:rFonts w:ascii="Times New Roman" w:hAnsi="Times New Roman" w:cs="Times New Roman"/>
          <w:i w:val="0"/>
          <w:iCs/>
          <w:sz w:val="24"/>
        </w:rPr>
        <w:t xml:space="preserve">. Mediation analysis of GWG trajectories in the association between </w:t>
      </w:r>
      <w:r>
        <w:rPr>
          <w:rFonts w:hint="eastAsia" w:ascii="Times New Roman" w:hAnsi="Times New Roman" w:cs="Times New Roman"/>
          <w:i w:val="0"/>
          <w:iCs/>
          <w:sz w:val="24"/>
        </w:rPr>
        <w:t>SDOH profile</w:t>
      </w:r>
      <w:r>
        <w:rPr>
          <w:rFonts w:ascii="Times New Roman" w:hAnsi="Times New Roman" w:cs="Times New Roman"/>
          <w:i w:val="0"/>
          <w:iCs/>
          <w:sz w:val="24"/>
        </w:rPr>
        <w:t xml:space="preserve"> and adverse neonatal outcomes</w:t>
      </w:r>
    </w:p>
    <w:tbl>
      <w:tblPr>
        <w:tblStyle w:val="2"/>
        <w:tblW w:w="9958" w:type="dxa"/>
        <w:tblInd w:w="0" w:type="dxa"/>
        <w:tblLayout w:type="fixed"/>
        <w:tblCellMar>
          <w:top w:w="0" w:type="dxa"/>
          <w:left w:w="108" w:type="dxa"/>
          <w:bottom w:w="0" w:type="dxa"/>
          <w:right w:w="108" w:type="dxa"/>
        </w:tblCellMar>
      </w:tblPr>
      <w:tblGrid>
        <w:gridCol w:w="2771"/>
        <w:gridCol w:w="2612"/>
        <w:gridCol w:w="1382"/>
        <w:gridCol w:w="1944"/>
        <w:gridCol w:w="1249"/>
      </w:tblGrid>
      <w:tr w14:paraId="2F740891">
        <w:tblPrEx>
          <w:tblCellMar>
            <w:top w:w="0" w:type="dxa"/>
            <w:left w:w="108" w:type="dxa"/>
            <w:bottom w:w="0" w:type="dxa"/>
            <w:right w:w="108" w:type="dxa"/>
          </w:tblCellMar>
        </w:tblPrEx>
        <w:trPr>
          <w:tblHeader/>
        </w:trPr>
        <w:tc>
          <w:tcPr>
            <w:tcW w:w="2771"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68393D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Exposure comparison</w:t>
            </w:r>
          </w:p>
        </w:tc>
        <w:tc>
          <w:tcPr>
            <w:tcW w:w="2612"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38BAA1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Effect</w:t>
            </w:r>
          </w:p>
        </w:tc>
        <w:tc>
          <w:tcPr>
            <w:tcW w:w="1382"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169AB1D6">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Estimate</w:t>
            </w:r>
          </w:p>
        </w:tc>
        <w:tc>
          <w:tcPr>
            <w:tcW w:w="1944"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452052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95% CI</w:t>
            </w:r>
          </w:p>
        </w:tc>
        <w:tc>
          <w:tcPr>
            <w:tcW w:w="1249"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EF5E56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b/>
                <w:color w:val="000000"/>
                <w:sz w:val="22"/>
                <w:szCs w:val="22"/>
              </w:rPr>
            </w:pPr>
            <w:r>
              <w:rPr>
                <w:rFonts w:ascii="Times New Roman" w:hAnsi="Times New Roman" w:eastAsia="Arial" w:cs="Times New Roman"/>
                <w:b/>
                <w:color w:val="000000"/>
                <w:sz w:val="22"/>
                <w:szCs w:val="22"/>
              </w:rPr>
              <w:t>P value</w:t>
            </w:r>
          </w:p>
        </w:tc>
      </w:tr>
      <w:tr w14:paraId="3F0CE8B5">
        <w:tblPrEx>
          <w:tblCellMar>
            <w:top w:w="0" w:type="dxa"/>
            <w:left w:w="108" w:type="dxa"/>
            <w:bottom w:w="0" w:type="dxa"/>
            <w:right w:w="108" w:type="dxa"/>
          </w:tblCellMar>
        </w:tblPrEx>
        <w:tc>
          <w:tcPr>
            <w:tcW w:w="2771" w:type="dxa"/>
            <w:vMerge w:val="restart"/>
            <w:tcBorders>
              <w:top w:val="single" w:color="666666" w:sz="12" w:space="0"/>
              <w:left w:val="nil"/>
              <w:right w:val="nil"/>
            </w:tcBorders>
            <w:shd w:val="clear" w:color="auto" w:fill="FFFFFF"/>
            <w:tcMar>
              <w:top w:w="0" w:type="dxa"/>
              <w:left w:w="0" w:type="dxa"/>
              <w:bottom w:w="0" w:type="dxa"/>
              <w:right w:w="0" w:type="dxa"/>
            </w:tcMar>
            <w:vAlign w:val="center"/>
          </w:tcPr>
          <w:p w14:paraId="7EAD112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Disadvantaged</w:t>
            </w:r>
            <w:r>
              <w:rPr>
                <w:rFonts w:ascii="Times New Roman" w:hAnsi="Times New Roman" w:eastAsia="Arial" w:cs="Times New Roman"/>
                <w:color w:val="000000"/>
                <w:sz w:val="22"/>
                <w:szCs w:val="22"/>
              </w:rPr>
              <w:t xml:space="preserve"> vs </w:t>
            </w:r>
            <w:r>
              <w:rPr>
                <w:rFonts w:hint="eastAsia" w:ascii="Times New Roman" w:hAnsi="Times New Roman" w:eastAsia="宋体" w:cs="Times New Roman"/>
                <w:color w:val="000000"/>
                <w:sz w:val="22"/>
                <w:szCs w:val="22"/>
              </w:rPr>
              <w:t>Advantaged profile</w:t>
            </w:r>
          </w:p>
        </w:tc>
        <w:tc>
          <w:tcPr>
            <w:tcW w:w="2612"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0A104FF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Total effect</w:t>
            </w:r>
          </w:p>
        </w:tc>
        <w:tc>
          <w:tcPr>
            <w:tcW w:w="1382"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45D763D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w:t>
            </w:r>
            <w:r>
              <w:rPr>
                <w:rFonts w:hint="eastAsia" w:ascii="Times New Roman" w:hAnsi="Times New Roman" w:eastAsia="宋体" w:cs="Times New Roman"/>
                <w:color w:val="000000"/>
                <w:sz w:val="22"/>
                <w:szCs w:val="22"/>
              </w:rPr>
              <w:t>103</w:t>
            </w:r>
          </w:p>
        </w:tc>
        <w:tc>
          <w:tcPr>
            <w:tcW w:w="1944"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4E97E0CF">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58</w:t>
            </w:r>
            <w:r>
              <w:rPr>
                <w:rFonts w:ascii="Times New Roman" w:hAnsi="Times New Roman" w:eastAsia="Arial" w:cs="Times New Roman"/>
                <w:color w:val="000000"/>
                <w:sz w:val="22"/>
                <w:szCs w:val="22"/>
              </w:rPr>
              <w:t>–0.15</w:t>
            </w:r>
            <w:r>
              <w:rPr>
                <w:rFonts w:hint="eastAsia" w:ascii="Times New Roman" w:hAnsi="Times New Roman" w:eastAsia="宋体" w:cs="Times New Roman"/>
                <w:color w:val="000000"/>
                <w:sz w:val="22"/>
                <w:szCs w:val="22"/>
              </w:rPr>
              <w:t>6</w:t>
            </w:r>
          </w:p>
        </w:tc>
        <w:tc>
          <w:tcPr>
            <w:tcW w:w="1249"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032D378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0.001</w:t>
            </w:r>
          </w:p>
        </w:tc>
      </w:tr>
      <w:tr w14:paraId="34D17067">
        <w:tblPrEx>
          <w:tblCellMar>
            <w:top w:w="0" w:type="dxa"/>
            <w:left w:w="108" w:type="dxa"/>
            <w:bottom w:w="0" w:type="dxa"/>
            <w:right w:w="108" w:type="dxa"/>
          </w:tblCellMar>
        </w:tblPrEx>
        <w:tc>
          <w:tcPr>
            <w:tcW w:w="2771" w:type="dxa"/>
            <w:vMerge w:val="continue"/>
            <w:tcBorders>
              <w:left w:val="nil"/>
              <w:right w:val="nil"/>
            </w:tcBorders>
            <w:shd w:val="clear" w:color="auto" w:fill="FFFFFF"/>
            <w:tcMar>
              <w:top w:w="0" w:type="dxa"/>
              <w:left w:w="0" w:type="dxa"/>
              <w:bottom w:w="0" w:type="dxa"/>
              <w:right w:w="0" w:type="dxa"/>
            </w:tcMar>
            <w:vAlign w:val="center"/>
          </w:tcPr>
          <w:p w14:paraId="3EA120C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p>
        </w:tc>
        <w:tc>
          <w:tcPr>
            <w:tcW w:w="2612" w:type="dxa"/>
            <w:tcBorders>
              <w:top w:val="nil"/>
              <w:left w:val="nil"/>
              <w:bottom w:val="nil"/>
              <w:right w:val="nil"/>
            </w:tcBorders>
            <w:shd w:val="clear" w:color="auto" w:fill="FFFFFF"/>
            <w:tcMar>
              <w:top w:w="0" w:type="dxa"/>
              <w:left w:w="0" w:type="dxa"/>
              <w:bottom w:w="0" w:type="dxa"/>
              <w:right w:w="0" w:type="dxa"/>
            </w:tcMar>
            <w:vAlign w:val="center"/>
          </w:tcPr>
          <w:p w14:paraId="0CE727A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Direct effect</w:t>
            </w:r>
          </w:p>
        </w:tc>
        <w:tc>
          <w:tcPr>
            <w:tcW w:w="1382" w:type="dxa"/>
            <w:tcBorders>
              <w:top w:val="nil"/>
              <w:left w:val="nil"/>
              <w:bottom w:val="nil"/>
              <w:right w:val="nil"/>
            </w:tcBorders>
            <w:shd w:val="clear" w:color="auto" w:fill="FFFFFF"/>
            <w:tcMar>
              <w:top w:w="0" w:type="dxa"/>
              <w:left w:w="0" w:type="dxa"/>
              <w:bottom w:w="0" w:type="dxa"/>
              <w:right w:w="0" w:type="dxa"/>
            </w:tcMar>
            <w:vAlign w:val="center"/>
          </w:tcPr>
          <w:p w14:paraId="0EC6E8B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81</w:t>
            </w:r>
          </w:p>
        </w:tc>
        <w:tc>
          <w:tcPr>
            <w:tcW w:w="1944" w:type="dxa"/>
            <w:tcBorders>
              <w:top w:val="nil"/>
              <w:left w:val="nil"/>
              <w:bottom w:val="nil"/>
              <w:right w:val="nil"/>
            </w:tcBorders>
            <w:shd w:val="clear" w:color="auto" w:fill="FFFFFF"/>
            <w:tcMar>
              <w:top w:w="0" w:type="dxa"/>
              <w:left w:w="0" w:type="dxa"/>
              <w:bottom w:w="0" w:type="dxa"/>
              <w:right w:w="0" w:type="dxa"/>
            </w:tcMar>
            <w:vAlign w:val="center"/>
          </w:tcPr>
          <w:p w14:paraId="5E510FA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34</w:t>
            </w:r>
            <w:r>
              <w:rPr>
                <w:rFonts w:ascii="Times New Roman" w:hAnsi="Times New Roman" w:eastAsia="Arial" w:cs="Times New Roman"/>
                <w:color w:val="000000"/>
                <w:sz w:val="22"/>
                <w:szCs w:val="22"/>
              </w:rPr>
              <w:t>–0.1</w:t>
            </w:r>
            <w:r>
              <w:rPr>
                <w:rFonts w:hint="eastAsia" w:ascii="Times New Roman" w:hAnsi="Times New Roman" w:eastAsia="宋体" w:cs="Times New Roman"/>
                <w:color w:val="000000"/>
                <w:sz w:val="22"/>
                <w:szCs w:val="22"/>
              </w:rPr>
              <w:t>33</w:t>
            </w:r>
          </w:p>
        </w:tc>
        <w:tc>
          <w:tcPr>
            <w:tcW w:w="1249" w:type="dxa"/>
            <w:tcBorders>
              <w:top w:val="nil"/>
              <w:left w:val="nil"/>
              <w:bottom w:val="nil"/>
              <w:right w:val="nil"/>
            </w:tcBorders>
            <w:shd w:val="clear" w:color="auto" w:fill="FFFFFF"/>
            <w:tcMar>
              <w:top w:w="0" w:type="dxa"/>
              <w:left w:w="0" w:type="dxa"/>
              <w:bottom w:w="0" w:type="dxa"/>
              <w:right w:w="0" w:type="dxa"/>
            </w:tcMar>
            <w:vAlign w:val="center"/>
          </w:tcPr>
          <w:p w14:paraId="3119726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0.001</w:t>
            </w:r>
          </w:p>
        </w:tc>
      </w:tr>
      <w:tr w14:paraId="1DCBDA26">
        <w:tblPrEx>
          <w:tblCellMar>
            <w:top w:w="0" w:type="dxa"/>
            <w:left w:w="108" w:type="dxa"/>
            <w:bottom w:w="0" w:type="dxa"/>
            <w:right w:w="108" w:type="dxa"/>
          </w:tblCellMar>
        </w:tblPrEx>
        <w:tc>
          <w:tcPr>
            <w:tcW w:w="2771" w:type="dxa"/>
            <w:vMerge w:val="continue"/>
            <w:tcBorders>
              <w:left w:val="nil"/>
              <w:right w:val="nil"/>
            </w:tcBorders>
            <w:shd w:val="clear" w:color="auto" w:fill="FFFFFF"/>
            <w:tcMar>
              <w:top w:w="0" w:type="dxa"/>
              <w:left w:w="0" w:type="dxa"/>
              <w:bottom w:w="0" w:type="dxa"/>
              <w:right w:w="0" w:type="dxa"/>
            </w:tcMar>
            <w:vAlign w:val="center"/>
          </w:tcPr>
          <w:p w14:paraId="205DE31D">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p>
        </w:tc>
        <w:tc>
          <w:tcPr>
            <w:tcW w:w="2612" w:type="dxa"/>
            <w:tcBorders>
              <w:top w:val="nil"/>
              <w:left w:val="nil"/>
              <w:bottom w:val="nil"/>
              <w:right w:val="nil"/>
            </w:tcBorders>
            <w:shd w:val="clear" w:color="auto" w:fill="FFFFFF"/>
            <w:tcMar>
              <w:top w:w="0" w:type="dxa"/>
              <w:left w:w="0" w:type="dxa"/>
              <w:bottom w:w="0" w:type="dxa"/>
              <w:right w:w="0" w:type="dxa"/>
            </w:tcMar>
            <w:vAlign w:val="center"/>
          </w:tcPr>
          <w:p w14:paraId="5B69C18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Indirect effec</w:t>
            </w:r>
            <w:r>
              <w:rPr>
                <w:rFonts w:ascii="Times New Roman" w:hAnsi="Times New Roman" w:eastAsia="宋体" w:cs="Times New Roman"/>
                <w:color w:val="000000"/>
                <w:sz w:val="22"/>
                <w:szCs w:val="22"/>
              </w:rPr>
              <w:t>t</w:t>
            </w:r>
          </w:p>
        </w:tc>
        <w:tc>
          <w:tcPr>
            <w:tcW w:w="1382" w:type="dxa"/>
            <w:tcBorders>
              <w:top w:val="nil"/>
              <w:left w:val="nil"/>
              <w:bottom w:val="nil"/>
              <w:right w:val="nil"/>
            </w:tcBorders>
            <w:shd w:val="clear" w:color="auto" w:fill="FFFFFF"/>
            <w:tcMar>
              <w:top w:w="0" w:type="dxa"/>
              <w:left w:w="0" w:type="dxa"/>
              <w:bottom w:w="0" w:type="dxa"/>
              <w:right w:w="0" w:type="dxa"/>
            </w:tcMar>
            <w:vAlign w:val="center"/>
          </w:tcPr>
          <w:p w14:paraId="43567A2F">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27</w:t>
            </w:r>
          </w:p>
        </w:tc>
        <w:tc>
          <w:tcPr>
            <w:tcW w:w="1944" w:type="dxa"/>
            <w:tcBorders>
              <w:top w:val="nil"/>
              <w:left w:val="nil"/>
              <w:bottom w:val="nil"/>
              <w:right w:val="nil"/>
            </w:tcBorders>
            <w:shd w:val="clear" w:color="auto" w:fill="FFFFFF"/>
            <w:tcMar>
              <w:top w:w="0" w:type="dxa"/>
              <w:left w:w="0" w:type="dxa"/>
              <w:bottom w:w="0" w:type="dxa"/>
              <w:right w:w="0" w:type="dxa"/>
            </w:tcMar>
            <w:vAlign w:val="center"/>
          </w:tcPr>
          <w:p w14:paraId="02D0D7DF">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0.01</w:t>
            </w:r>
            <w:r>
              <w:rPr>
                <w:rFonts w:hint="eastAsia" w:ascii="Times New Roman" w:hAnsi="Times New Roman" w:eastAsia="宋体" w:cs="Times New Roman"/>
                <w:color w:val="000000"/>
                <w:sz w:val="22"/>
                <w:szCs w:val="22"/>
              </w:rPr>
              <w:t>3</w:t>
            </w:r>
            <w:r>
              <w:rPr>
                <w:rFonts w:ascii="Times New Roman" w:hAnsi="Times New Roman" w:eastAsia="Arial" w:cs="Times New Roman"/>
                <w:color w:val="000000"/>
                <w:sz w:val="22"/>
                <w:szCs w:val="22"/>
              </w:rPr>
              <w:t>–0.04</w:t>
            </w:r>
            <w:r>
              <w:rPr>
                <w:rFonts w:hint="eastAsia" w:ascii="Times New Roman" w:hAnsi="Times New Roman" w:eastAsia="宋体" w:cs="Times New Roman"/>
                <w:color w:val="000000"/>
                <w:sz w:val="22"/>
                <w:szCs w:val="22"/>
              </w:rPr>
              <w:t>3</w:t>
            </w:r>
          </w:p>
        </w:tc>
        <w:tc>
          <w:tcPr>
            <w:tcW w:w="1249" w:type="dxa"/>
            <w:tcBorders>
              <w:top w:val="nil"/>
              <w:left w:val="nil"/>
              <w:bottom w:val="nil"/>
              <w:right w:val="nil"/>
            </w:tcBorders>
            <w:shd w:val="clear" w:color="auto" w:fill="FFFFFF"/>
            <w:tcMar>
              <w:top w:w="0" w:type="dxa"/>
              <w:left w:w="0" w:type="dxa"/>
              <w:bottom w:w="0" w:type="dxa"/>
              <w:right w:w="0" w:type="dxa"/>
            </w:tcMar>
            <w:vAlign w:val="center"/>
          </w:tcPr>
          <w:p w14:paraId="016721B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0.001</w:t>
            </w:r>
          </w:p>
        </w:tc>
      </w:tr>
      <w:tr w14:paraId="1B54B08F">
        <w:tblPrEx>
          <w:tblCellMar>
            <w:top w:w="0" w:type="dxa"/>
            <w:left w:w="108" w:type="dxa"/>
            <w:bottom w:w="0" w:type="dxa"/>
            <w:right w:w="108" w:type="dxa"/>
          </w:tblCellMar>
        </w:tblPrEx>
        <w:tc>
          <w:tcPr>
            <w:tcW w:w="2771" w:type="dxa"/>
            <w:vMerge w:val="continue"/>
            <w:tcBorders>
              <w:left w:val="nil"/>
              <w:bottom w:val="nil"/>
              <w:right w:val="nil"/>
            </w:tcBorders>
            <w:shd w:val="clear" w:color="auto" w:fill="FFFFFF"/>
            <w:tcMar>
              <w:top w:w="0" w:type="dxa"/>
              <w:left w:w="0" w:type="dxa"/>
              <w:bottom w:w="0" w:type="dxa"/>
              <w:right w:w="0" w:type="dxa"/>
            </w:tcMar>
            <w:vAlign w:val="center"/>
          </w:tcPr>
          <w:p w14:paraId="04FE5C09">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p>
        </w:tc>
        <w:tc>
          <w:tcPr>
            <w:tcW w:w="2612" w:type="dxa"/>
            <w:tcBorders>
              <w:top w:val="nil"/>
              <w:left w:val="nil"/>
              <w:bottom w:val="nil"/>
              <w:right w:val="nil"/>
            </w:tcBorders>
            <w:shd w:val="clear" w:color="auto" w:fill="FFFFFF"/>
            <w:tcMar>
              <w:top w:w="0" w:type="dxa"/>
              <w:left w:w="0" w:type="dxa"/>
              <w:bottom w:w="0" w:type="dxa"/>
              <w:right w:w="0" w:type="dxa"/>
            </w:tcMar>
            <w:vAlign w:val="center"/>
          </w:tcPr>
          <w:p w14:paraId="79531AF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Proportion mediated</w:t>
            </w:r>
          </w:p>
        </w:tc>
        <w:tc>
          <w:tcPr>
            <w:tcW w:w="1382" w:type="dxa"/>
            <w:tcBorders>
              <w:top w:val="nil"/>
              <w:left w:val="nil"/>
              <w:bottom w:val="nil"/>
              <w:right w:val="nil"/>
            </w:tcBorders>
            <w:shd w:val="clear" w:color="auto" w:fill="FFFFFF"/>
            <w:tcMar>
              <w:top w:w="0" w:type="dxa"/>
              <w:left w:w="0" w:type="dxa"/>
              <w:bottom w:w="0" w:type="dxa"/>
              <w:right w:w="0" w:type="dxa"/>
            </w:tcMar>
            <w:vAlign w:val="center"/>
          </w:tcPr>
          <w:p w14:paraId="4303C5D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25.6</w:t>
            </w:r>
            <w:r>
              <w:rPr>
                <w:rFonts w:ascii="Times New Roman" w:hAnsi="Times New Roman" w:eastAsia="Arial" w:cs="Times New Roman"/>
                <w:color w:val="000000"/>
                <w:sz w:val="22"/>
                <w:szCs w:val="22"/>
              </w:rPr>
              <w:t>%</w:t>
            </w:r>
          </w:p>
        </w:tc>
        <w:tc>
          <w:tcPr>
            <w:tcW w:w="1944" w:type="dxa"/>
            <w:tcBorders>
              <w:top w:val="nil"/>
              <w:left w:val="nil"/>
              <w:bottom w:val="nil"/>
              <w:right w:val="nil"/>
            </w:tcBorders>
            <w:shd w:val="clear" w:color="auto" w:fill="FFFFFF"/>
            <w:tcMar>
              <w:top w:w="0" w:type="dxa"/>
              <w:left w:w="0" w:type="dxa"/>
              <w:bottom w:w="0" w:type="dxa"/>
              <w:right w:w="0" w:type="dxa"/>
            </w:tcMar>
            <w:vAlign w:val="center"/>
          </w:tcPr>
          <w:p w14:paraId="1D542C71">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1</w:t>
            </w:r>
            <w:r>
              <w:rPr>
                <w:rFonts w:hint="eastAsia" w:ascii="Times New Roman" w:hAnsi="Times New Roman" w:eastAsia="宋体" w:cs="Times New Roman"/>
                <w:color w:val="000000"/>
                <w:sz w:val="22"/>
                <w:szCs w:val="22"/>
              </w:rPr>
              <w:t>2.5</w:t>
            </w:r>
            <w:r>
              <w:rPr>
                <w:rFonts w:ascii="Times New Roman" w:hAnsi="Times New Roman" w:eastAsia="Arial" w:cs="Times New Roman"/>
                <w:color w:val="000000"/>
                <w:sz w:val="22"/>
                <w:szCs w:val="22"/>
              </w:rPr>
              <w:t>%–</w:t>
            </w:r>
            <w:r>
              <w:rPr>
                <w:rFonts w:hint="eastAsia" w:ascii="Times New Roman" w:hAnsi="Times New Roman" w:eastAsia="宋体" w:cs="Times New Roman"/>
                <w:color w:val="000000"/>
                <w:sz w:val="22"/>
                <w:szCs w:val="22"/>
              </w:rPr>
              <w:t>47.6</w:t>
            </w:r>
            <w:r>
              <w:rPr>
                <w:rFonts w:ascii="Times New Roman" w:hAnsi="Times New Roman" w:eastAsia="Arial" w:cs="Times New Roman"/>
                <w:color w:val="000000"/>
                <w:sz w:val="22"/>
                <w:szCs w:val="22"/>
              </w:rPr>
              <w:t>%</w:t>
            </w:r>
          </w:p>
        </w:tc>
        <w:tc>
          <w:tcPr>
            <w:tcW w:w="1249" w:type="dxa"/>
            <w:tcBorders>
              <w:top w:val="nil"/>
              <w:left w:val="nil"/>
              <w:bottom w:val="nil"/>
              <w:right w:val="nil"/>
            </w:tcBorders>
            <w:shd w:val="clear" w:color="auto" w:fill="FFFFFF"/>
            <w:tcMar>
              <w:top w:w="0" w:type="dxa"/>
              <w:left w:w="0" w:type="dxa"/>
              <w:bottom w:w="0" w:type="dxa"/>
              <w:right w:w="0" w:type="dxa"/>
            </w:tcMar>
            <w:vAlign w:val="center"/>
          </w:tcPr>
          <w:p w14:paraId="03C6D73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&lt;</w:t>
            </w:r>
            <w:r>
              <w:rPr>
                <w:rFonts w:hint="eastAsia" w:ascii="Times New Roman" w:hAnsi="Times New Roman" w:eastAsia="宋体" w:cs="Times New Roman"/>
                <w:color w:val="000000"/>
                <w:sz w:val="22"/>
                <w:szCs w:val="22"/>
              </w:rPr>
              <w:t xml:space="preserve"> </w:t>
            </w:r>
            <w:r>
              <w:rPr>
                <w:rFonts w:ascii="Times New Roman" w:hAnsi="Times New Roman" w:eastAsia="Arial" w:cs="Times New Roman"/>
                <w:color w:val="000000"/>
                <w:sz w:val="22"/>
                <w:szCs w:val="22"/>
              </w:rPr>
              <w:t>0.001</w:t>
            </w:r>
          </w:p>
        </w:tc>
      </w:tr>
      <w:tr w14:paraId="5DC2B514">
        <w:tblPrEx>
          <w:tblCellMar>
            <w:top w:w="0" w:type="dxa"/>
            <w:left w:w="108" w:type="dxa"/>
            <w:bottom w:w="0" w:type="dxa"/>
            <w:right w:w="108" w:type="dxa"/>
          </w:tblCellMar>
        </w:tblPrEx>
        <w:tc>
          <w:tcPr>
            <w:tcW w:w="2771" w:type="dxa"/>
            <w:vMerge w:val="restart"/>
            <w:tcBorders>
              <w:top w:val="nil"/>
              <w:left w:val="nil"/>
              <w:right w:val="nil"/>
            </w:tcBorders>
            <w:shd w:val="clear" w:color="auto" w:fill="FFFFFF"/>
            <w:tcMar>
              <w:top w:w="0" w:type="dxa"/>
              <w:left w:w="0" w:type="dxa"/>
              <w:bottom w:w="0" w:type="dxa"/>
              <w:right w:w="0" w:type="dxa"/>
            </w:tcMar>
            <w:vAlign w:val="center"/>
          </w:tcPr>
          <w:p w14:paraId="7F0BB04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 xml:space="preserve">Disadvantaged </w:t>
            </w:r>
            <w:r>
              <w:rPr>
                <w:rFonts w:ascii="Times New Roman" w:hAnsi="Times New Roman" w:eastAsia="Arial" w:cs="Times New Roman"/>
                <w:color w:val="000000"/>
                <w:sz w:val="22"/>
                <w:szCs w:val="22"/>
              </w:rPr>
              <w:t xml:space="preserve">vs </w:t>
            </w:r>
            <w:r>
              <w:rPr>
                <w:rFonts w:hint="eastAsia" w:ascii="Times New Roman" w:hAnsi="Times New Roman" w:eastAsia="宋体" w:cs="Times New Roman"/>
                <w:color w:val="000000"/>
                <w:sz w:val="22"/>
                <w:szCs w:val="22"/>
              </w:rPr>
              <w:t>Intermediate profile</w:t>
            </w:r>
          </w:p>
        </w:tc>
        <w:tc>
          <w:tcPr>
            <w:tcW w:w="2612" w:type="dxa"/>
            <w:tcBorders>
              <w:top w:val="nil"/>
              <w:left w:val="nil"/>
              <w:bottom w:val="nil"/>
              <w:right w:val="nil"/>
            </w:tcBorders>
            <w:shd w:val="clear" w:color="auto" w:fill="FFFFFF"/>
            <w:tcMar>
              <w:top w:w="0" w:type="dxa"/>
              <w:left w:w="0" w:type="dxa"/>
              <w:bottom w:w="0" w:type="dxa"/>
              <w:right w:w="0" w:type="dxa"/>
            </w:tcMar>
            <w:vAlign w:val="center"/>
          </w:tcPr>
          <w:p w14:paraId="7E501D0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Total effect</w:t>
            </w:r>
          </w:p>
        </w:tc>
        <w:tc>
          <w:tcPr>
            <w:tcW w:w="1382" w:type="dxa"/>
            <w:tcBorders>
              <w:top w:val="nil"/>
              <w:left w:val="nil"/>
              <w:bottom w:val="nil"/>
              <w:right w:val="nil"/>
            </w:tcBorders>
            <w:shd w:val="clear" w:color="auto" w:fill="FFFFFF"/>
            <w:tcMar>
              <w:top w:w="0" w:type="dxa"/>
              <w:left w:w="0" w:type="dxa"/>
              <w:bottom w:w="0" w:type="dxa"/>
              <w:right w:w="0" w:type="dxa"/>
            </w:tcMar>
            <w:vAlign w:val="center"/>
          </w:tcPr>
          <w:p w14:paraId="39F28EC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65</w:t>
            </w:r>
          </w:p>
        </w:tc>
        <w:tc>
          <w:tcPr>
            <w:tcW w:w="1944" w:type="dxa"/>
            <w:tcBorders>
              <w:top w:val="nil"/>
              <w:left w:val="nil"/>
              <w:bottom w:val="nil"/>
              <w:right w:val="nil"/>
            </w:tcBorders>
            <w:shd w:val="clear" w:color="auto" w:fill="FFFFFF"/>
            <w:tcMar>
              <w:top w:w="0" w:type="dxa"/>
              <w:left w:w="0" w:type="dxa"/>
              <w:bottom w:w="0" w:type="dxa"/>
              <w:right w:w="0" w:type="dxa"/>
            </w:tcMar>
            <w:vAlign w:val="center"/>
          </w:tcPr>
          <w:p w14:paraId="03B199C3">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14</w:t>
            </w:r>
            <w:r>
              <w:rPr>
                <w:rFonts w:ascii="Times New Roman" w:hAnsi="Times New Roman" w:eastAsia="Arial" w:cs="Times New Roman"/>
                <w:color w:val="000000"/>
                <w:sz w:val="22"/>
                <w:szCs w:val="22"/>
              </w:rPr>
              <w:t>–0.</w:t>
            </w:r>
            <w:r>
              <w:rPr>
                <w:rFonts w:hint="eastAsia" w:ascii="Times New Roman" w:hAnsi="Times New Roman" w:eastAsia="宋体" w:cs="Times New Roman"/>
                <w:color w:val="000000"/>
                <w:sz w:val="22"/>
                <w:szCs w:val="22"/>
              </w:rPr>
              <w:t>114</w:t>
            </w:r>
          </w:p>
        </w:tc>
        <w:tc>
          <w:tcPr>
            <w:tcW w:w="1249" w:type="dxa"/>
            <w:tcBorders>
              <w:top w:val="nil"/>
              <w:left w:val="nil"/>
              <w:bottom w:val="nil"/>
              <w:right w:val="nil"/>
            </w:tcBorders>
            <w:shd w:val="clear" w:color="auto" w:fill="FFFFFF"/>
            <w:tcMar>
              <w:top w:w="0" w:type="dxa"/>
              <w:left w:w="0" w:type="dxa"/>
              <w:bottom w:w="0" w:type="dxa"/>
              <w:right w:w="0" w:type="dxa"/>
            </w:tcMar>
            <w:vAlign w:val="center"/>
          </w:tcPr>
          <w:p w14:paraId="44239085">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12</w:t>
            </w:r>
          </w:p>
        </w:tc>
      </w:tr>
      <w:tr w14:paraId="5BB2E094">
        <w:tblPrEx>
          <w:tblCellMar>
            <w:top w:w="0" w:type="dxa"/>
            <w:left w:w="108" w:type="dxa"/>
            <w:bottom w:w="0" w:type="dxa"/>
            <w:right w:w="108" w:type="dxa"/>
          </w:tblCellMar>
        </w:tblPrEx>
        <w:trPr>
          <w:trHeight w:val="259" w:hRule="atLeast"/>
        </w:trPr>
        <w:tc>
          <w:tcPr>
            <w:tcW w:w="2771" w:type="dxa"/>
            <w:vMerge w:val="continue"/>
            <w:tcBorders>
              <w:left w:val="nil"/>
              <w:right w:val="nil"/>
            </w:tcBorders>
            <w:shd w:val="clear" w:color="auto" w:fill="FFFFFF"/>
            <w:tcMar>
              <w:top w:w="0" w:type="dxa"/>
              <w:left w:w="0" w:type="dxa"/>
              <w:bottom w:w="0" w:type="dxa"/>
              <w:right w:w="0" w:type="dxa"/>
            </w:tcMar>
            <w:vAlign w:val="center"/>
          </w:tcPr>
          <w:p w14:paraId="1B2E12D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p>
        </w:tc>
        <w:tc>
          <w:tcPr>
            <w:tcW w:w="2612" w:type="dxa"/>
            <w:tcBorders>
              <w:top w:val="nil"/>
              <w:left w:val="nil"/>
              <w:bottom w:val="nil"/>
              <w:right w:val="nil"/>
            </w:tcBorders>
            <w:shd w:val="clear" w:color="auto" w:fill="FFFFFF"/>
            <w:tcMar>
              <w:top w:w="0" w:type="dxa"/>
              <w:left w:w="0" w:type="dxa"/>
              <w:bottom w:w="0" w:type="dxa"/>
              <w:right w:w="0" w:type="dxa"/>
            </w:tcMar>
            <w:vAlign w:val="center"/>
          </w:tcPr>
          <w:p w14:paraId="20D10F3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Direct effect</w:t>
            </w:r>
          </w:p>
        </w:tc>
        <w:tc>
          <w:tcPr>
            <w:tcW w:w="1382" w:type="dxa"/>
            <w:tcBorders>
              <w:top w:val="nil"/>
              <w:left w:val="nil"/>
              <w:bottom w:val="nil"/>
              <w:right w:val="nil"/>
            </w:tcBorders>
            <w:shd w:val="clear" w:color="auto" w:fill="FFFFFF"/>
            <w:tcMar>
              <w:top w:w="0" w:type="dxa"/>
              <w:left w:w="0" w:type="dxa"/>
              <w:bottom w:w="0" w:type="dxa"/>
              <w:right w:w="0" w:type="dxa"/>
            </w:tcMar>
            <w:vAlign w:val="center"/>
          </w:tcPr>
          <w:p w14:paraId="5D9E5C5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4</w:t>
            </w:r>
            <w:r>
              <w:rPr>
                <w:rFonts w:ascii="Times New Roman" w:hAnsi="Times New Roman" w:eastAsia="Arial" w:cs="Times New Roman"/>
                <w:color w:val="000000"/>
                <w:sz w:val="22"/>
                <w:szCs w:val="22"/>
              </w:rPr>
              <w:t>9</w:t>
            </w:r>
          </w:p>
        </w:tc>
        <w:tc>
          <w:tcPr>
            <w:tcW w:w="1944" w:type="dxa"/>
            <w:tcBorders>
              <w:top w:val="nil"/>
              <w:left w:val="nil"/>
              <w:bottom w:val="nil"/>
              <w:right w:val="nil"/>
            </w:tcBorders>
            <w:shd w:val="clear" w:color="auto" w:fill="FFFFFF"/>
            <w:tcMar>
              <w:top w:w="0" w:type="dxa"/>
              <w:left w:w="0" w:type="dxa"/>
              <w:bottom w:w="0" w:type="dxa"/>
              <w:right w:w="0" w:type="dxa"/>
            </w:tcMar>
            <w:vAlign w:val="center"/>
          </w:tcPr>
          <w:p w14:paraId="2090AE1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w:t>
            </w: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01</w:t>
            </w:r>
            <w:r>
              <w:rPr>
                <w:rFonts w:ascii="Times New Roman" w:hAnsi="Times New Roman" w:eastAsia="Arial" w:cs="Times New Roman"/>
                <w:color w:val="000000"/>
                <w:sz w:val="22"/>
                <w:szCs w:val="22"/>
              </w:rPr>
              <w:t>–0.09</w:t>
            </w:r>
            <w:r>
              <w:rPr>
                <w:rFonts w:hint="eastAsia" w:ascii="Times New Roman" w:hAnsi="Times New Roman" w:eastAsia="宋体" w:cs="Times New Roman"/>
                <w:color w:val="000000"/>
                <w:sz w:val="22"/>
                <w:szCs w:val="22"/>
              </w:rPr>
              <w:t>7</w:t>
            </w:r>
          </w:p>
        </w:tc>
        <w:tc>
          <w:tcPr>
            <w:tcW w:w="1249" w:type="dxa"/>
            <w:tcBorders>
              <w:top w:val="nil"/>
              <w:left w:val="nil"/>
              <w:bottom w:val="nil"/>
              <w:right w:val="nil"/>
            </w:tcBorders>
            <w:shd w:val="clear" w:color="auto" w:fill="FFFFFF"/>
            <w:tcMar>
              <w:top w:w="0" w:type="dxa"/>
              <w:left w:w="0" w:type="dxa"/>
              <w:bottom w:w="0" w:type="dxa"/>
              <w:right w:w="0" w:type="dxa"/>
            </w:tcMar>
            <w:vAlign w:val="center"/>
          </w:tcPr>
          <w:p w14:paraId="511C243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w:t>
            </w:r>
            <w:r>
              <w:rPr>
                <w:rFonts w:hint="eastAsia" w:ascii="Times New Roman" w:hAnsi="Times New Roman" w:eastAsia="宋体" w:cs="Times New Roman"/>
                <w:color w:val="000000"/>
                <w:sz w:val="22"/>
                <w:szCs w:val="22"/>
              </w:rPr>
              <w:t>.054</w:t>
            </w:r>
          </w:p>
        </w:tc>
      </w:tr>
      <w:tr w14:paraId="39D9F4DC">
        <w:tblPrEx>
          <w:tblCellMar>
            <w:top w:w="0" w:type="dxa"/>
            <w:left w:w="108" w:type="dxa"/>
            <w:bottom w:w="0" w:type="dxa"/>
            <w:right w:w="108" w:type="dxa"/>
          </w:tblCellMar>
        </w:tblPrEx>
        <w:trPr>
          <w:trHeight w:val="379" w:hRule="atLeast"/>
        </w:trPr>
        <w:tc>
          <w:tcPr>
            <w:tcW w:w="2771" w:type="dxa"/>
            <w:vMerge w:val="continue"/>
            <w:tcBorders>
              <w:left w:val="nil"/>
              <w:right w:val="nil"/>
            </w:tcBorders>
            <w:shd w:val="clear" w:color="auto" w:fill="FFFFFF"/>
            <w:tcMar>
              <w:top w:w="0" w:type="dxa"/>
              <w:left w:w="0" w:type="dxa"/>
              <w:bottom w:w="0" w:type="dxa"/>
              <w:right w:w="0" w:type="dxa"/>
            </w:tcMar>
            <w:vAlign w:val="center"/>
          </w:tcPr>
          <w:p w14:paraId="32150DFC">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p>
        </w:tc>
        <w:tc>
          <w:tcPr>
            <w:tcW w:w="2612" w:type="dxa"/>
            <w:tcBorders>
              <w:top w:val="nil"/>
              <w:left w:val="nil"/>
              <w:bottom w:val="nil"/>
              <w:right w:val="nil"/>
            </w:tcBorders>
            <w:shd w:val="clear" w:color="auto" w:fill="FFFFFF"/>
            <w:tcMar>
              <w:top w:w="0" w:type="dxa"/>
              <w:left w:w="0" w:type="dxa"/>
              <w:bottom w:w="0" w:type="dxa"/>
              <w:right w:w="0" w:type="dxa"/>
            </w:tcMar>
            <w:vAlign w:val="center"/>
          </w:tcPr>
          <w:p w14:paraId="73A17AA4">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Indirect effec</w:t>
            </w:r>
            <w:r>
              <w:rPr>
                <w:rFonts w:ascii="Times New Roman" w:hAnsi="Times New Roman" w:eastAsia="宋体" w:cs="Times New Roman"/>
                <w:color w:val="000000"/>
                <w:sz w:val="22"/>
                <w:szCs w:val="22"/>
              </w:rPr>
              <w:t>t</w:t>
            </w:r>
          </w:p>
        </w:tc>
        <w:tc>
          <w:tcPr>
            <w:tcW w:w="1382" w:type="dxa"/>
            <w:tcBorders>
              <w:top w:val="nil"/>
              <w:left w:val="nil"/>
              <w:bottom w:val="nil"/>
              <w:right w:val="nil"/>
            </w:tcBorders>
            <w:shd w:val="clear" w:color="auto" w:fill="FFFFFF"/>
            <w:tcMar>
              <w:top w:w="0" w:type="dxa"/>
              <w:left w:w="0" w:type="dxa"/>
              <w:bottom w:w="0" w:type="dxa"/>
              <w:right w:w="0" w:type="dxa"/>
            </w:tcMar>
            <w:vAlign w:val="center"/>
          </w:tcPr>
          <w:p w14:paraId="341C1D8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0.018</w:t>
            </w:r>
          </w:p>
        </w:tc>
        <w:tc>
          <w:tcPr>
            <w:tcW w:w="1944" w:type="dxa"/>
            <w:tcBorders>
              <w:top w:val="nil"/>
              <w:left w:val="nil"/>
              <w:bottom w:val="nil"/>
              <w:right w:val="nil"/>
            </w:tcBorders>
            <w:shd w:val="clear" w:color="auto" w:fill="FFFFFF"/>
            <w:tcMar>
              <w:top w:w="0" w:type="dxa"/>
              <w:left w:w="0" w:type="dxa"/>
              <w:bottom w:w="0" w:type="dxa"/>
              <w:right w:w="0" w:type="dxa"/>
            </w:tcMar>
            <w:vAlign w:val="center"/>
          </w:tcPr>
          <w:p w14:paraId="57005C3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0.00</w:t>
            </w:r>
            <w:r>
              <w:rPr>
                <w:rFonts w:hint="eastAsia" w:ascii="Times New Roman" w:hAnsi="Times New Roman" w:eastAsia="宋体" w:cs="Times New Roman"/>
                <w:color w:val="000000"/>
                <w:sz w:val="22"/>
                <w:szCs w:val="22"/>
              </w:rPr>
              <w:t>5</w:t>
            </w:r>
            <w:r>
              <w:rPr>
                <w:rFonts w:ascii="Times New Roman" w:hAnsi="Times New Roman" w:eastAsia="Arial" w:cs="Times New Roman"/>
                <w:color w:val="000000"/>
                <w:sz w:val="22"/>
                <w:szCs w:val="22"/>
              </w:rPr>
              <w:t>–0.03</w:t>
            </w:r>
            <w:r>
              <w:rPr>
                <w:rFonts w:hint="eastAsia" w:ascii="Times New Roman" w:hAnsi="Times New Roman" w:eastAsia="宋体" w:cs="Times New Roman"/>
                <w:color w:val="000000"/>
                <w:sz w:val="22"/>
                <w:szCs w:val="22"/>
              </w:rPr>
              <w:t>0</w:t>
            </w:r>
          </w:p>
        </w:tc>
        <w:tc>
          <w:tcPr>
            <w:tcW w:w="1249" w:type="dxa"/>
            <w:tcBorders>
              <w:top w:val="nil"/>
              <w:left w:val="nil"/>
              <w:bottom w:val="nil"/>
              <w:right w:val="nil"/>
            </w:tcBorders>
            <w:shd w:val="clear" w:color="auto" w:fill="FFFFFF"/>
            <w:tcMar>
              <w:top w:w="0" w:type="dxa"/>
              <w:left w:w="0" w:type="dxa"/>
              <w:bottom w:w="0" w:type="dxa"/>
              <w:right w:w="0" w:type="dxa"/>
            </w:tcMar>
            <w:vAlign w:val="center"/>
          </w:tcPr>
          <w:p w14:paraId="0039C0C2">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0.00</w:t>
            </w:r>
            <w:r>
              <w:rPr>
                <w:rFonts w:hint="eastAsia" w:ascii="Times New Roman" w:hAnsi="Times New Roman" w:eastAsia="宋体" w:cs="Times New Roman"/>
                <w:color w:val="000000"/>
                <w:sz w:val="22"/>
                <w:szCs w:val="22"/>
              </w:rPr>
              <w:t>6</w:t>
            </w:r>
          </w:p>
        </w:tc>
      </w:tr>
      <w:tr w14:paraId="60601038">
        <w:tblPrEx>
          <w:tblCellMar>
            <w:top w:w="0" w:type="dxa"/>
            <w:left w:w="108" w:type="dxa"/>
            <w:bottom w:w="0" w:type="dxa"/>
            <w:right w:w="108" w:type="dxa"/>
          </w:tblCellMar>
        </w:tblPrEx>
        <w:tc>
          <w:tcPr>
            <w:tcW w:w="2771" w:type="dxa"/>
            <w:vMerge w:val="continue"/>
            <w:tcBorders>
              <w:left w:val="nil"/>
              <w:bottom w:val="single" w:color="666666" w:sz="12" w:space="0"/>
              <w:right w:val="nil"/>
            </w:tcBorders>
            <w:shd w:val="clear" w:color="auto" w:fill="FFFFFF"/>
            <w:tcMar>
              <w:top w:w="0" w:type="dxa"/>
              <w:left w:w="0" w:type="dxa"/>
              <w:bottom w:w="0" w:type="dxa"/>
              <w:right w:w="0" w:type="dxa"/>
            </w:tcMar>
            <w:vAlign w:val="center"/>
          </w:tcPr>
          <w:p w14:paraId="361BE10A">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p>
        </w:tc>
        <w:tc>
          <w:tcPr>
            <w:tcW w:w="2612"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7954DA2B">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Proportion mediated</w:t>
            </w:r>
          </w:p>
        </w:tc>
        <w:tc>
          <w:tcPr>
            <w:tcW w:w="1382"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3E307EF8">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26.9</w:t>
            </w:r>
            <w:r>
              <w:rPr>
                <w:rFonts w:ascii="Times New Roman" w:hAnsi="Times New Roman" w:eastAsia="Arial" w:cs="Times New Roman"/>
                <w:color w:val="000000"/>
                <w:sz w:val="22"/>
                <w:szCs w:val="22"/>
              </w:rPr>
              <w:t>%</w:t>
            </w:r>
          </w:p>
        </w:tc>
        <w:tc>
          <w:tcPr>
            <w:tcW w:w="1944"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595B58CE">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Arial" w:cs="Times New Roman"/>
                <w:color w:val="000000"/>
                <w:sz w:val="22"/>
                <w:szCs w:val="22"/>
              </w:rPr>
            </w:pPr>
            <w:r>
              <w:rPr>
                <w:rFonts w:hint="eastAsia" w:ascii="Times New Roman" w:hAnsi="Times New Roman" w:eastAsia="宋体" w:cs="Times New Roman"/>
                <w:color w:val="000000"/>
                <w:sz w:val="22"/>
                <w:szCs w:val="22"/>
              </w:rPr>
              <w:t>7.0</w:t>
            </w:r>
            <w:r>
              <w:rPr>
                <w:rFonts w:ascii="Times New Roman" w:hAnsi="Times New Roman" w:eastAsia="Arial" w:cs="Times New Roman"/>
                <w:color w:val="000000"/>
                <w:sz w:val="22"/>
                <w:szCs w:val="22"/>
              </w:rPr>
              <w:t>%–</w:t>
            </w:r>
            <w:r>
              <w:rPr>
                <w:rFonts w:hint="eastAsia" w:ascii="Times New Roman" w:hAnsi="Times New Roman" w:eastAsia="宋体" w:cs="Times New Roman"/>
                <w:color w:val="000000"/>
                <w:sz w:val="22"/>
                <w:szCs w:val="22"/>
              </w:rPr>
              <w:t>84.0</w:t>
            </w:r>
            <w:r>
              <w:rPr>
                <w:rFonts w:ascii="Times New Roman" w:hAnsi="Times New Roman" w:eastAsia="Arial" w:cs="Times New Roman"/>
                <w:color w:val="000000"/>
                <w:sz w:val="22"/>
                <w:szCs w:val="22"/>
              </w:rPr>
              <w:t>%</w:t>
            </w:r>
          </w:p>
        </w:tc>
        <w:tc>
          <w:tcPr>
            <w:tcW w:w="1249"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6116AB90">
            <w:pPr>
              <w:pBdr>
                <w:top w:val="none" w:color="000000" w:sz="0" w:space="0"/>
                <w:left w:val="none" w:color="000000" w:sz="0" w:space="0"/>
                <w:bottom w:val="none" w:color="000000" w:sz="0" w:space="0"/>
                <w:right w:val="none" w:color="000000" w:sz="0" w:space="0"/>
              </w:pBdr>
              <w:spacing w:before="100" w:after="100"/>
              <w:ind w:left="100" w:right="100"/>
              <w:jc w:val="center"/>
              <w:rPr>
                <w:rFonts w:ascii="Times New Roman" w:hAnsi="Times New Roman" w:eastAsia="宋体" w:cs="Times New Roman"/>
                <w:color w:val="000000"/>
                <w:sz w:val="22"/>
                <w:szCs w:val="22"/>
              </w:rPr>
            </w:pPr>
            <w:r>
              <w:rPr>
                <w:rFonts w:ascii="Times New Roman" w:hAnsi="Times New Roman" w:eastAsia="Arial" w:cs="Times New Roman"/>
                <w:color w:val="000000"/>
                <w:sz w:val="22"/>
                <w:szCs w:val="22"/>
              </w:rPr>
              <w:t>0.0</w:t>
            </w:r>
            <w:r>
              <w:rPr>
                <w:rFonts w:hint="eastAsia" w:ascii="Times New Roman" w:hAnsi="Times New Roman" w:eastAsia="宋体" w:cs="Times New Roman"/>
                <w:color w:val="000000"/>
                <w:sz w:val="22"/>
                <w:szCs w:val="22"/>
              </w:rPr>
              <w:t>18</w:t>
            </w:r>
          </w:p>
        </w:tc>
      </w:tr>
      <w:tr w14:paraId="5A5B7C5F">
        <w:tblPrEx>
          <w:tblCellMar>
            <w:top w:w="0" w:type="dxa"/>
            <w:left w:w="108" w:type="dxa"/>
            <w:bottom w:w="0" w:type="dxa"/>
            <w:right w:w="108" w:type="dxa"/>
          </w:tblCellMar>
        </w:tblPrEx>
        <w:trPr>
          <w:trHeight w:val="428" w:hRule="atLeast"/>
          <w:jc w:val="center"/>
        </w:trPr>
        <w:tc>
          <w:tcPr>
            <w:tcW w:w="9958" w:type="dxa"/>
            <w:gridSpan w:val="5"/>
            <w:tcBorders>
              <w:top w:val="single" w:color="666666" w:sz="12" w:space="0"/>
              <w:left w:val="nil"/>
              <w:bottom w:val="nil"/>
              <w:right w:val="nil"/>
            </w:tcBorders>
            <w:shd w:val="clear" w:color="auto" w:fill="FFFFFF"/>
            <w:tcMar>
              <w:top w:w="0" w:type="dxa"/>
              <w:left w:w="0" w:type="dxa"/>
              <w:bottom w:w="0" w:type="dxa"/>
              <w:right w:w="0" w:type="dxa"/>
            </w:tcMar>
            <w:vAlign w:val="center"/>
          </w:tcPr>
          <w:p w14:paraId="5F0898D5">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Abbreviations: SDOH, social determinants of health; GWG, gestational weight gain; CI, confidence interval.</w:t>
            </w:r>
          </w:p>
        </w:tc>
      </w:tr>
      <w:tr w14:paraId="54767289">
        <w:tblPrEx>
          <w:tblCellMar>
            <w:top w:w="0" w:type="dxa"/>
            <w:left w:w="108" w:type="dxa"/>
            <w:bottom w:w="0" w:type="dxa"/>
            <w:right w:w="108" w:type="dxa"/>
          </w:tblCellMar>
        </w:tblPrEx>
        <w:trPr>
          <w:trHeight w:val="398" w:hRule="atLeast"/>
          <w:jc w:val="center"/>
        </w:trPr>
        <w:tc>
          <w:tcPr>
            <w:tcW w:w="9958" w:type="dxa"/>
            <w:gridSpan w:val="5"/>
            <w:tcBorders>
              <w:top w:val="nil"/>
              <w:left w:val="nil"/>
              <w:bottom w:val="nil"/>
              <w:right w:val="nil"/>
            </w:tcBorders>
            <w:shd w:val="clear" w:color="auto" w:fill="FFFFFF"/>
            <w:tcMar>
              <w:top w:w="0" w:type="dxa"/>
              <w:left w:w="0" w:type="dxa"/>
              <w:bottom w:w="0" w:type="dxa"/>
              <w:right w:w="0" w:type="dxa"/>
            </w:tcMar>
            <w:vAlign w:val="center"/>
          </w:tcPr>
          <w:p w14:paraId="6D6FE019">
            <w:pPr>
              <w:pBdr>
                <w:top w:val="none" w:color="000000" w:sz="0" w:space="0"/>
                <w:left w:val="none" w:color="000000" w:sz="0" w:space="0"/>
                <w:bottom w:val="none" w:color="000000" w:sz="0" w:space="0"/>
                <w:right w:val="none" w:color="000000" w:sz="0" w:space="0"/>
              </w:pBdr>
              <w:spacing w:before="40" w:after="40"/>
              <w:ind w:left="102" w:right="102"/>
              <w:jc w:val="left"/>
              <w:rPr>
                <w:rFonts w:ascii="Times New Roman" w:hAnsi="Times New Roman" w:eastAsia="Arial" w:cs="Times New Roman"/>
                <w:color w:val="000000"/>
                <w:sz w:val="22"/>
                <w:szCs w:val="22"/>
              </w:rPr>
            </w:pPr>
            <w:r>
              <w:rPr>
                <w:rFonts w:ascii="Times New Roman" w:hAnsi="Times New Roman" w:eastAsia="Arial" w:cs="Times New Roman"/>
                <w:color w:val="000000"/>
                <w:sz w:val="22"/>
                <w:szCs w:val="22"/>
              </w:rPr>
              <w:t>Total, direct, and indirect effects are presented as risk differences, representing absolute differences in the predicted probability of composite adverse neonatal outcomes. Proportion mediated is presented as percentage. Confidence intervals were estimated using 5,000 bootstrap resamples.</w:t>
            </w:r>
          </w:p>
        </w:tc>
      </w:tr>
    </w:tbl>
    <w:p w14:paraId="55CBEF0D">
      <w:pPr>
        <w:rPr>
          <w:rFonts w:ascii="Times New Roman" w:hAnsi="Times New Roman" w:cs="Times New Roman"/>
          <w:b/>
          <w:bCs/>
          <w:color w:val="000000" w:themeColor="text1"/>
          <w:sz w:val="24"/>
          <w14:textFill>
            <w14:solidFill>
              <w14:schemeClr w14:val="tx1"/>
            </w14:solidFill>
          </w14:textFill>
          <w14:ligatures w14:val="standardContextual"/>
        </w:rPr>
      </w:pPr>
    </w:p>
    <w:p w14:paraId="5BBAA2F9"/>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C33EF2"/>
    <w:rsid w:val="031C5D26"/>
    <w:rsid w:val="1EC33EF2"/>
    <w:rsid w:val="47486A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Caption"/>
    <w:basedOn w:val="5"/>
    <w:qFormat/>
    <w:uiPriority w:val="0"/>
  </w:style>
  <w:style w:type="paragraph" w:customStyle="1" w:styleId="5">
    <w:name w:val="Image Caption"/>
    <w:basedOn w:val="1"/>
    <w:qFormat/>
    <w:uiPriority w:val="0"/>
    <w:pPr>
      <w:jc w:val="center"/>
    </w:pPr>
    <w:rPr>
      <w:b/>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2026-06-28T11:12:00Z</dcterms:created>
  <dc:creator>,,</dc:creator>
  <cp:lastModifiedBy>,,</cp:lastModifiedBy>
  <dcterms:modified xsi:type="dcterms:W3CDTF">2026-06-28T11:34:14Z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37EF96CD9A8B4722A5C0E26BF70056D5_11</vt:lpwstr>
  </property>
  <property fmtid="{D5CDD505-2E9C-101B-9397-08002B2CF9AE}" pid="4" name="KSOTemplateDocerSaveRecord">
    <vt:lpwstr>eyJoZGlkIjoiMWMwMWVmNGQwNmEyZGIwYTNjMGYzZDIwMmVhZDBkZWIiLCJ1c2VySWQiOiI0NTIwNjUyMTcifQ==</vt:lpwstr>
  </property>
</Properties>
</file>