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 w:before="0"/>
      </w:pPr>
      <w:r>
        <w:rPr>
          <w:b/>
          <w:i w:val="0"/>
          <w:sz w:val="20"/>
        </w:rPr>
        <w:t>A. Rank-based analysis of covariance for the four mediators with nominal between-group differences</w:t>
      </w:r>
    </w:p>
    <w:tbl>
      <w:tblPr>
        <w:tblW w:type="auto" w:w="0"/>
        <w:tblLayout w:type="fixed"/>
        <w:tblLook w:firstColumn="1" w:firstRow="1" w:lastColumn="0" w:lastRow="0" w:noHBand="0" w:noVBand="1" w:val="04A0"/>
        <w:tblLayout w:type="fixed"/>
      </w:tblPr>
      <w:tblGrid>
        <w:gridCol w:w="1814"/>
        <w:gridCol w:w="1247"/>
        <w:gridCol w:w="1247"/>
        <w:gridCol w:w="1134"/>
        <w:gridCol w:w="907"/>
        <w:gridCol w:w="1134"/>
        <w:gridCol w:w="907"/>
        <w:gridCol w:w="1361"/>
        <w:gridCol w:w="907"/>
        <w:gridCol w:w="1247"/>
        <w:gridCol w:w="1247"/>
        <w:gridCol w:w="1247"/>
      </w:tblGrid>
      <w:tr>
        <w:tc>
          <w:tcPr>
            <w:tcW w:type="dxa" w:w="1814"/>
            <w:tcBorders>
              <w:top w:val="single" w:sz="8" w:color="000000"/>
              <w:left w:val="nil"/>
              <w:bottom w:val="nil"/>
              <w:right w:val="nil"/>
            </w:tcBorders>
          </w:tcPr>
          <w:p>
            <w:pPr>
              <w:spacing w:after="20"/>
              <w:jc w:val="left"/>
            </w:pPr>
            <w:r>
              <w:rPr>
                <w:b/>
                <w:sz w:val="20"/>
              </w:rPr>
            </w:r>
          </w:p>
        </w:tc>
        <w:tc>
          <w:tcPr>
            <w:tcW w:type="dxa" w:w="1247"/>
            <w:tcBorders>
              <w:top w:val="single" w:sz="8" w:color="000000"/>
              <w:left w:val="nil"/>
              <w:bottom w:val="nil"/>
              <w:right w:val="nil"/>
            </w:tcBorders>
          </w:tcPr>
          <w:p>
            <w:pPr>
              <w:spacing w:after="20"/>
              <w:jc w:val="center"/>
            </w:pPr>
            <w:r>
              <w:rPr>
                <w:b/>
                <w:sz w:val="20"/>
              </w:rPr>
              <w:t>CNT</w:t>
            </w:r>
          </w:p>
        </w:tc>
        <w:tc>
          <w:tcPr>
            <w:tcW w:type="dxa" w:w="1247"/>
            <w:tcBorders>
              <w:top w:val="single" w:sz="8" w:color="000000"/>
              <w:left w:val="nil"/>
              <w:bottom w:val="nil"/>
              <w:right w:val="nil"/>
            </w:tcBorders>
          </w:tcPr>
          <w:p>
            <w:pPr>
              <w:spacing w:after="20"/>
              <w:jc w:val="center"/>
            </w:pPr>
            <w:r>
              <w:rPr>
                <w:b/>
                <w:sz w:val="20"/>
              </w:rPr>
              <w:t>PE</w:t>
            </w:r>
          </w:p>
        </w:tc>
        <w:tc>
          <w:tcPr>
            <w:tcW w:type="dxa" w:w="2041"/>
            <w:gridSpan w:val="2"/>
            <w:tcBorders>
              <w:top w:val="single" w:sz="8" w:color="000000"/>
              <w:left w:val="nil"/>
              <w:bottom w:val="nil"/>
              <w:right w:val="nil"/>
            </w:tcBorders>
          </w:tcPr>
          <w:p>
            <w:pPr>
              <w:spacing w:after="20"/>
              <w:jc w:val="center"/>
            </w:pPr>
            <w:r>
              <w:rPr>
                <w:b/>
                <w:sz w:val="20"/>
              </w:rPr>
              <w:t>Unadjusted</w:t>
            </w:r>
          </w:p>
        </w:tc>
        <w:tc>
          <w:tcPr>
            <w:tcW w:type="dxa" w:w="4309"/>
            <w:gridSpan w:val="4"/>
            <w:tcBorders>
              <w:top w:val="single" w:sz="8" w:color="000000"/>
              <w:left w:val="nil"/>
              <w:bottom w:val="nil"/>
              <w:right w:val="nil"/>
            </w:tcBorders>
          </w:tcPr>
          <w:p>
            <w:pPr>
              <w:spacing w:after="20"/>
              <w:jc w:val="center"/>
            </w:pPr>
            <w:r>
              <w:rPr>
                <w:b/>
                <w:sz w:val="20"/>
              </w:rPr>
              <w:t>BMI-adjusted</w:t>
            </w:r>
          </w:p>
        </w:tc>
        <w:tc>
          <w:tcPr>
            <w:tcW w:type="dxa" w:w="3741"/>
            <w:gridSpan w:val="3"/>
            <w:tcBorders>
              <w:top w:val="single" w:sz="8" w:color="000000"/>
              <w:left w:val="nil"/>
              <w:bottom w:val="nil"/>
              <w:right w:val="nil"/>
            </w:tcBorders>
          </w:tcPr>
          <w:p>
            <w:pPr>
              <w:spacing w:after="20"/>
              <w:jc w:val="center"/>
            </w:pPr>
            <w:r>
              <w:rPr>
                <w:b/>
                <w:sz w:val="20"/>
              </w:rPr>
              <w:t>Spearman ρ with BMI</w:t>
            </w:r>
          </w:p>
        </w:tc>
      </w:tr>
      <w:tr>
        <w:tc>
          <w:tcPr>
            <w:tcW w:type="dxa" w:w="1814"/>
            <w:tcBorders>
              <w:top w:val="nil"/>
              <w:left w:val="nil"/>
              <w:bottom w:val="single" w:sz="4" w:color="000000"/>
              <w:right w:val="nil"/>
            </w:tcBorders>
          </w:tcPr>
          <w:p>
            <w:pPr>
              <w:spacing w:after="20"/>
              <w:jc w:val="left"/>
            </w:pPr>
            <w:r>
              <w:rPr>
                <w:b/>
                <w:sz w:val="20"/>
              </w:rPr>
              <w:t>Analyte</w:t>
            </w:r>
          </w:p>
        </w:tc>
        <w:tc>
          <w:tcPr>
            <w:tcW w:type="dxa" w:w="1247"/>
            <w:tcBorders>
              <w:top w:val="nil"/>
              <w:left w:val="nil"/>
              <w:bottom w:val="single" w:sz="4" w:color="000000"/>
              <w:right w:val="nil"/>
            </w:tcBorders>
          </w:tcPr>
          <w:p>
            <w:pPr>
              <w:spacing w:after="20"/>
              <w:jc w:val="center"/>
            </w:pPr>
            <w:r>
              <w:rPr>
                <w:b/>
                <w:sz w:val="20"/>
              </w:rPr>
              <w:t>Median (pg/ml)</w:t>
            </w:r>
          </w:p>
        </w:tc>
        <w:tc>
          <w:tcPr>
            <w:tcW w:type="dxa" w:w="1247"/>
            <w:tcBorders>
              <w:top w:val="nil"/>
              <w:left w:val="nil"/>
              <w:bottom w:val="single" w:sz="4" w:color="000000"/>
              <w:right w:val="nil"/>
            </w:tcBorders>
          </w:tcPr>
          <w:p>
            <w:pPr>
              <w:spacing w:after="20"/>
              <w:jc w:val="center"/>
            </w:pPr>
            <w:r>
              <w:rPr>
                <w:b/>
                <w:sz w:val="20"/>
              </w:rPr>
              <w:t>Median (pg/ml)</w:t>
            </w:r>
          </w:p>
        </w:tc>
        <w:tc>
          <w:tcPr>
            <w:tcW w:type="dxa" w:w="1134"/>
            <w:tcBorders>
              <w:top w:val="nil"/>
              <w:left w:val="nil"/>
              <w:bottom w:val="single" w:sz="4" w:color="000000"/>
              <w:right w:val="nil"/>
            </w:tcBorders>
          </w:tcPr>
          <w:p>
            <w:pPr>
              <w:spacing w:after="20"/>
              <w:jc w:val="center"/>
            </w:pPr>
            <w:r>
              <w:rPr>
                <w:b/>
                <w:sz w:val="20"/>
              </w:rPr>
              <w:t>Group effect</w:t>
            </w:r>
          </w:p>
        </w:tc>
        <w:tc>
          <w:tcPr>
            <w:tcW w:type="dxa" w:w="907"/>
            <w:tcBorders>
              <w:top w:val="nil"/>
              <w:left w:val="nil"/>
              <w:bottom w:val="single" w:sz="4" w:color="000000"/>
              <w:right w:val="nil"/>
            </w:tcBorders>
          </w:tcPr>
          <w:p>
            <w:pPr>
              <w:spacing w:after="20"/>
              <w:jc w:val="center"/>
            </w:pPr>
            <w:r>
              <w:rPr>
                <w:b/>
                <w:sz w:val="20"/>
              </w:rPr>
              <w:t>p</w:t>
            </w:r>
          </w:p>
        </w:tc>
        <w:tc>
          <w:tcPr>
            <w:tcW w:type="dxa" w:w="1134"/>
            <w:tcBorders>
              <w:top w:val="nil"/>
              <w:left w:val="nil"/>
              <w:bottom w:val="single" w:sz="4" w:color="000000"/>
              <w:right w:val="nil"/>
            </w:tcBorders>
          </w:tcPr>
          <w:p>
            <w:pPr>
              <w:spacing w:after="20"/>
              <w:jc w:val="center"/>
            </w:pPr>
            <w:r>
              <w:rPr>
                <w:b/>
                <w:sz w:val="20"/>
              </w:rPr>
              <w:t>Group effect</w:t>
            </w:r>
          </w:p>
        </w:tc>
        <w:tc>
          <w:tcPr>
            <w:tcW w:type="dxa" w:w="907"/>
            <w:tcBorders>
              <w:top w:val="nil"/>
              <w:left w:val="nil"/>
              <w:bottom w:val="single" w:sz="4" w:color="000000"/>
              <w:right w:val="nil"/>
            </w:tcBorders>
          </w:tcPr>
          <w:p>
            <w:pPr>
              <w:spacing w:after="20"/>
              <w:jc w:val="center"/>
            </w:pPr>
            <w:r>
              <w:rPr>
                <w:b/>
                <w:sz w:val="20"/>
              </w:rPr>
              <w:t>p</w:t>
            </w:r>
          </w:p>
        </w:tc>
        <w:tc>
          <w:tcPr>
            <w:tcW w:type="dxa" w:w="1361"/>
            <w:tcBorders>
              <w:top w:val="nil"/>
              <w:left w:val="nil"/>
              <w:bottom w:val="single" w:sz="4" w:color="000000"/>
              <w:right w:val="nil"/>
            </w:tcBorders>
          </w:tcPr>
          <w:p>
            <w:pPr>
              <w:spacing w:after="20"/>
              <w:jc w:val="center"/>
            </w:pPr>
            <w:r>
              <w:rPr>
                <w:b/>
                <w:sz w:val="20"/>
              </w:rPr>
              <w:t>Change in group effect</w:t>
            </w:r>
          </w:p>
        </w:tc>
        <w:tc>
          <w:tcPr>
            <w:tcW w:type="dxa" w:w="907"/>
            <w:tcBorders>
              <w:top w:val="nil"/>
              <w:left w:val="nil"/>
              <w:bottom w:val="single" w:sz="4" w:color="000000"/>
              <w:right w:val="nil"/>
            </w:tcBorders>
          </w:tcPr>
          <w:p>
            <w:pPr>
              <w:spacing w:after="20"/>
              <w:jc w:val="center"/>
            </w:pPr>
            <w:r>
              <w:rPr>
                <w:b/>
                <w:sz w:val="20"/>
              </w:rPr>
              <w:t>p for BMI</w:t>
            </w:r>
          </w:p>
        </w:tc>
        <w:tc>
          <w:tcPr>
            <w:tcW w:type="dxa" w:w="1247"/>
            <w:tcBorders>
              <w:top w:val="nil"/>
              <w:left w:val="nil"/>
              <w:bottom w:val="single" w:sz="4" w:color="000000"/>
              <w:right w:val="nil"/>
            </w:tcBorders>
          </w:tcPr>
          <w:p>
            <w:pPr>
              <w:spacing w:after="20"/>
              <w:jc w:val="center"/>
            </w:pPr>
            <w:r>
              <w:rPr>
                <w:b/>
                <w:sz w:val="20"/>
              </w:rPr>
              <w:t>All (n = 14)</w:t>
            </w:r>
          </w:p>
        </w:tc>
        <w:tc>
          <w:tcPr>
            <w:tcW w:type="dxa" w:w="1247"/>
            <w:tcBorders>
              <w:top w:val="nil"/>
              <w:left w:val="nil"/>
              <w:bottom w:val="single" w:sz="4" w:color="000000"/>
              <w:right w:val="nil"/>
            </w:tcBorders>
          </w:tcPr>
          <w:p>
            <w:pPr>
              <w:spacing w:after="20"/>
              <w:jc w:val="center"/>
            </w:pPr>
            <w:r>
              <w:rPr>
                <w:b/>
                <w:sz w:val="20"/>
              </w:rPr>
              <w:t>CNT (n = 7)</w:t>
            </w:r>
          </w:p>
        </w:tc>
        <w:tc>
          <w:tcPr>
            <w:tcW w:type="dxa" w:w="1247"/>
            <w:tcBorders>
              <w:top w:val="nil"/>
              <w:left w:val="nil"/>
              <w:bottom w:val="single" w:sz="4" w:color="000000"/>
              <w:right w:val="nil"/>
            </w:tcBorders>
          </w:tcPr>
          <w:p>
            <w:pPr>
              <w:spacing w:after="20"/>
              <w:jc w:val="center"/>
            </w:pPr>
            <w:r>
              <w:rPr>
                <w:b/>
                <w:sz w:val="20"/>
              </w:rPr>
              <w:t>PE (n = 7)</w:t>
            </w:r>
          </w:p>
        </w:tc>
      </w:tr>
      <w:tr>
        <w:tc>
          <w:tcPr>
            <w:tcW w:type="dxa" w:w="1814"/>
            <w:tcBorders>
              <w:top w:val="nil"/>
              <w:left w:val="nil"/>
              <w:bottom w:val="nil"/>
              <w:right w:val="nil"/>
            </w:tcBorders>
          </w:tcPr>
          <w:p>
            <w:pPr>
              <w:spacing w:after="20"/>
              <w:jc w:val="left"/>
            </w:pPr>
            <w:r>
              <w:rPr>
                <w:b w:val="0"/>
                <w:sz w:val="20"/>
              </w:rPr>
              <w:t>Eotaxin</w:t>
            </w:r>
          </w:p>
        </w:tc>
        <w:tc>
          <w:tcPr>
            <w:tcW w:type="dxa" w:w="1247"/>
            <w:tcBorders>
              <w:top w:val="nil"/>
              <w:left w:val="nil"/>
              <w:bottom w:val="nil"/>
              <w:right w:val="nil"/>
            </w:tcBorders>
          </w:tcPr>
          <w:p>
            <w:pPr>
              <w:spacing w:after="20"/>
              <w:jc w:val="center"/>
            </w:pPr>
            <w:r>
              <w:rPr>
                <w:b w:val="0"/>
                <w:sz w:val="20"/>
              </w:rPr>
              <w:t>86.2</w:t>
            </w:r>
          </w:p>
        </w:tc>
        <w:tc>
          <w:tcPr>
            <w:tcW w:type="dxa" w:w="1247"/>
            <w:tcBorders>
              <w:top w:val="nil"/>
              <w:left w:val="nil"/>
              <w:bottom w:val="nil"/>
              <w:right w:val="nil"/>
            </w:tcBorders>
          </w:tcPr>
          <w:p>
            <w:pPr>
              <w:spacing w:after="20"/>
              <w:jc w:val="center"/>
            </w:pPr>
            <w:r>
              <w:rPr>
                <w:b w:val="0"/>
                <w:sz w:val="20"/>
              </w:rPr>
              <w:t>50.9</w:t>
            </w:r>
          </w:p>
        </w:tc>
        <w:tc>
          <w:tcPr>
            <w:tcW w:type="dxa" w:w="1134"/>
            <w:tcBorders>
              <w:top w:val="nil"/>
              <w:left w:val="nil"/>
              <w:bottom w:val="nil"/>
              <w:right w:val="nil"/>
            </w:tcBorders>
          </w:tcPr>
          <w:p>
            <w:pPr>
              <w:spacing w:after="20"/>
              <w:jc w:val="center"/>
            </w:pPr>
            <w:r>
              <w:rPr>
                <w:b w:val="0"/>
                <w:sz w:val="20"/>
              </w:rPr>
              <w:t>−6.14</w:t>
            </w:r>
          </w:p>
        </w:tc>
        <w:tc>
          <w:tcPr>
            <w:tcW w:type="dxa" w:w="907"/>
            <w:tcBorders>
              <w:top w:val="nil"/>
              <w:left w:val="nil"/>
              <w:bottom w:val="nil"/>
              <w:right w:val="nil"/>
            </w:tcBorders>
          </w:tcPr>
          <w:p>
            <w:pPr>
              <w:spacing w:after="20"/>
              <w:jc w:val="center"/>
            </w:pPr>
            <w:r>
              <w:rPr>
                <w:b w:val="0"/>
                <w:sz w:val="20"/>
              </w:rPr>
              <w:t>0.0015</w:t>
            </w:r>
          </w:p>
        </w:tc>
        <w:tc>
          <w:tcPr>
            <w:tcW w:type="dxa" w:w="1134"/>
            <w:tcBorders>
              <w:top w:val="nil"/>
              <w:left w:val="nil"/>
              <w:bottom w:val="nil"/>
              <w:right w:val="nil"/>
            </w:tcBorders>
          </w:tcPr>
          <w:p>
            <w:pPr>
              <w:spacing w:after="20"/>
              <w:jc w:val="center"/>
            </w:pPr>
            <w:r>
              <w:rPr>
                <w:b w:val="0"/>
                <w:sz w:val="20"/>
              </w:rPr>
              <w:t>−7.64</w:t>
            </w:r>
          </w:p>
        </w:tc>
        <w:tc>
          <w:tcPr>
            <w:tcW w:type="dxa" w:w="907"/>
            <w:tcBorders>
              <w:top w:val="nil"/>
              <w:left w:val="nil"/>
              <w:bottom w:val="nil"/>
              <w:right w:val="nil"/>
            </w:tcBorders>
          </w:tcPr>
          <w:p>
            <w:pPr>
              <w:spacing w:after="20"/>
              <w:jc w:val="center"/>
            </w:pPr>
            <w:r>
              <w:rPr>
                <w:b w:val="0"/>
                <w:sz w:val="20"/>
              </w:rPr>
              <w:t>0.0009</w:t>
            </w:r>
          </w:p>
        </w:tc>
        <w:tc>
          <w:tcPr>
            <w:tcW w:type="dxa" w:w="1361"/>
            <w:tcBorders>
              <w:top w:val="nil"/>
              <w:left w:val="nil"/>
              <w:bottom w:val="nil"/>
              <w:right w:val="nil"/>
            </w:tcBorders>
          </w:tcPr>
          <w:p>
            <w:pPr>
              <w:spacing w:after="20"/>
              <w:jc w:val="center"/>
            </w:pPr>
            <w:r>
              <w:rPr>
                <w:b w:val="0"/>
                <w:sz w:val="20"/>
              </w:rPr>
              <w:t>+24%</w:t>
            </w:r>
          </w:p>
        </w:tc>
        <w:tc>
          <w:tcPr>
            <w:tcW w:type="dxa" w:w="907"/>
            <w:tcBorders>
              <w:top w:val="nil"/>
              <w:left w:val="nil"/>
              <w:bottom w:val="nil"/>
              <w:right w:val="nil"/>
            </w:tcBorders>
          </w:tcPr>
          <w:p>
            <w:pPr>
              <w:spacing w:after="20"/>
              <w:jc w:val="center"/>
            </w:pPr>
            <w:r>
              <w:rPr>
                <w:b w:val="0"/>
                <w:sz w:val="20"/>
              </w:rPr>
              <w:t>0.14</w:t>
            </w:r>
          </w:p>
        </w:tc>
        <w:tc>
          <w:tcPr>
            <w:tcW w:type="dxa" w:w="1247"/>
            <w:tcBorders>
              <w:top w:val="nil"/>
              <w:left w:val="nil"/>
              <w:bottom w:val="nil"/>
              <w:right w:val="nil"/>
            </w:tcBorders>
          </w:tcPr>
          <w:p>
            <w:pPr>
              <w:spacing w:after="20"/>
              <w:jc w:val="center"/>
            </w:pPr>
            <w:r>
              <w:rPr>
                <w:b w:val="0"/>
                <w:sz w:val="20"/>
              </w:rPr>
              <w:t>−0.18</w:t>
            </w:r>
          </w:p>
        </w:tc>
        <w:tc>
          <w:tcPr>
            <w:tcW w:type="dxa" w:w="1247"/>
            <w:tcBorders>
              <w:top w:val="nil"/>
              <w:left w:val="nil"/>
              <w:bottom w:val="nil"/>
              <w:right w:val="nil"/>
            </w:tcBorders>
          </w:tcPr>
          <w:p>
            <w:pPr>
              <w:spacing w:after="20"/>
              <w:jc w:val="center"/>
            </w:pPr>
            <w:r>
              <w:rPr>
                <w:b w:val="0"/>
                <w:sz w:val="20"/>
              </w:rPr>
              <w:t>0.18</w:t>
            </w:r>
          </w:p>
        </w:tc>
        <w:tc>
          <w:tcPr>
            <w:tcW w:type="dxa" w:w="1247"/>
            <w:tcBorders>
              <w:top w:val="nil"/>
              <w:left w:val="nil"/>
              <w:bottom w:val="nil"/>
              <w:right w:val="nil"/>
            </w:tcBorders>
          </w:tcPr>
          <w:p>
            <w:pPr>
              <w:spacing w:after="20"/>
              <w:jc w:val="center"/>
            </w:pPr>
            <w:r>
              <w:rPr>
                <w:b w:val="0"/>
                <w:sz w:val="20"/>
              </w:rPr>
              <w:t>0.57</w:t>
            </w:r>
          </w:p>
        </w:tc>
      </w:tr>
      <w:tr>
        <w:tc>
          <w:tcPr>
            <w:tcW w:type="dxa" w:w="1814"/>
            <w:tcBorders>
              <w:top w:val="nil"/>
              <w:left w:val="nil"/>
              <w:bottom w:val="nil"/>
              <w:right w:val="nil"/>
            </w:tcBorders>
          </w:tcPr>
          <w:p>
            <w:pPr>
              <w:spacing w:after="20"/>
              <w:jc w:val="left"/>
            </w:pPr>
            <w:r>
              <w:rPr>
                <w:b w:val="0"/>
                <w:sz w:val="20"/>
              </w:rPr>
              <w:t>Granzyme A</w:t>
            </w:r>
          </w:p>
        </w:tc>
        <w:tc>
          <w:tcPr>
            <w:tcW w:type="dxa" w:w="1247"/>
            <w:tcBorders>
              <w:top w:val="nil"/>
              <w:left w:val="nil"/>
              <w:bottom w:val="nil"/>
              <w:right w:val="nil"/>
            </w:tcBorders>
          </w:tcPr>
          <w:p>
            <w:pPr>
              <w:spacing w:after="20"/>
              <w:jc w:val="center"/>
            </w:pPr>
            <w:r>
              <w:rPr>
                <w:b w:val="0"/>
                <w:sz w:val="20"/>
              </w:rPr>
              <w:t>9.07</w:t>
            </w:r>
          </w:p>
        </w:tc>
        <w:tc>
          <w:tcPr>
            <w:tcW w:type="dxa" w:w="1247"/>
            <w:tcBorders>
              <w:top w:val="nil"/>
              <w:left w:val="nil"/>
              <w:bottom w:val="nil"/>
              <w:right w:val="nil"/>
            </w:tcBorders>
          </w:tcPr>
          <w:p>
            <w:pPr>
              <w:spacing w:after="20"/>
              <w:jc w:val="center"/>
            </w:pPr>
            <w:r>
              <w:rPr>
                <w:b w:val="0"/>
                <w:sz w:val="20"/>
              </w:rPr>
              <w:t>5.47</w:t>
            </w:r>
          </w:p>
        </w:tc>
        <w:tc>
          <w:tcPr>
            <w:tcW w:type="dxa" w:w="1134"/>
            <w:tcBorders>
              <w:top w:val="nil"/>
              <w:left w:val="nil"/>
              <w:bottom w:val="nil"/>
              <w:right w:val="nil"/>
            </w:tcBorders>
          </w:tcPr>
          <w:p>
            <w:pPr>
              <w:spacing w:after="20"/>
              <w:jc w:val="center"/>
            </w:pPr>
            <w:r>
              <w:rPr>
                <w:b w:val="0"/>
                <w:sz w:val="20"/>
              </w:rPr>
              <w:t>−5.29</w:t>
            </w:r>
          </w:p>
        </w:tc>
        <w:tc>
          <w:tcPr>
            <w:tcW w:type="dxa" w:w="907"/>
            <w:tcBorders>
              <w:top w:val="nil"/>
              <w:left w:val="nil"/>
              <w:bottom w:val="nil"/>
              <w:right w:val="nil"/>
            </w:tcBorders>
          </w:tcPr>
          <w:p>
            <w:pPr>
              <w:spacing w:after="20"/>
              <w:jc w:val="center"/>
            </w:pPr>
            <w:r>
              <w:rPr>
                <w:b w:val="0"/>
                <w:sz w:val="20"/>
              </w:rPr>
              <w:t>0.011</w:t>
            </w:r>
          </w:p>
        </w:tc>
        <w:tc>
          <w:tcPr>
            <w:tcW w:type="dxa" w:w="1134"/>
            <w:tcBorders>
              <w:top w:val="nil"/>
              <w:left w:val="nil"/>
              <w:bottom w:val="nil"/>
              <w:right w:val="nil"/>
            </w:tcBorders>
          </w:tcPr>
          <w:p>
            <w:pPr>
              <w:spacing w:after="20"/>
              <w:jc w:val="center"/>
            </w:pPr>
            <w:r>
              <w:rPr>
                <w:b w:val="0"/>
                <w:sz w:val="20"/>
              </w:rPr>
              <w:t>−5.80</w:t>
            </w:r>
          </w:p>
        </w:tc>
        <w:tc>
          <w:tcPr>
            <w:tcW w:type="dxa" w:w="907"/>
            <w:tcBorders>
              <w:top w:val="nil"/>
              <w:left w:val="nil"/>
              <w:bottom w:val="nil"/>
              <w:right w:val="nil"/>
            </w:tcBorders>
          </w:tcPr>
          <w:p>
            <w:pPr>
              <w:spacing w:after="20"/>
              <w:jc w:val="center"/>
            </w:pPr>
            <w:r>
              <w:rPr>
                <w:b w:val="0"/>
                <w:sz w:val="20"/>
              </w:rPr>
              <w:t>0.022</w:t>
            </w:r>
          </w:p>
        </w:tc>
        <w:tc>
          <w:tcPr>
            <w:tcW w:type="dxa" w:w="1361"/>
            <w:tcBorders>
              <w:top w:val="nil"/>
              <w:left w:val="nil"/>
              <w:bottom w:val="nil"/>
              <w:right w:val="nil"/>
            </w:tcBorders>
          </w:tcPr>
          <w:p>
            <w:pPr>
              <w:spacing w:after="20"/>
              <w:jc w:val="center"/>
            </w:pPr>
            <w:r>
              <w:rPr>
                <w:b w:val="0"/>
                <w:sz w:val="20"/>
              </w:rPr>
              <w:t>+10%</w:t>
            </w:r>
          </w:p>
        </w:tc>
        <w:tc>
          <w:tcPr>
            <w:tcW w:type="dxa" w:w="907"/>
            <w:tcBorders>
              <w:top w:val="nil"/>
              <w:left w:val="nil"/>
              <w:bottom w:val="nil"/>
              <w:right w:val="nil"/>
            </w:tcBorders>
          </w:tcPr>
          <w:p>
            <w:pPr>
              <w:spacing w:after="20"/>
              <w:jc w:val="center"/>
            </w:pPr>
            <w:r>
              <w:rPr>
                <w:b w:val="0"/>
                <w:sz w:val="20"/>
              </w:rPr>
              <w:t>0.67</w:t>
            </w:r>
          </w:p>
        </w:tc>
        <w:tc>
          <w:tcPr>
            <w:tcW w:type="dxa" w:w="1247"/>
            <w:tcBorders>
              <w:top w:val="nil"/>
              <w:left w:val="nil"/>
              <w:bottom w:val="nil"/>
              <w:right w:val="nil"/>
            </w:tcBorders>
          </w:tcPr>
          <w:p>
            <w:pPr>
              <w:spacing w:after="20"/>
              <w:jc w:val="center"/>
            </w:pPr>
            <w:r>
              <w:rPr>
                <w:b w:val="0"/>
                <w:sz w:val="20"/>
              </w:rPr>
              <w:t>−0.28</w:t>
            </w:r>
          </w:p>
        </w:tc>
        <w:tc>
          <w:tcPr>
            <w:tcW w:type="dxa" w:w="1247"/>
            <w:tcBorders>
              <w:top w:val="nil"/>
              <w:left w:val="nil"/>
              <w:bottom w:val="nil"/>
              <w:right w:val="nil"/>
            </w:tcBorders>
          </w:tcPr>
          <w:p>
            <w:pPr>
              <w:spacing w:after="20"/>
              <w:jc w:val="center"/>
            </w:pPr>
            <w:r>
              <w:rPr>
                <w:b w:val="0"/>
                <w:sz w:val="20"/>
              </w:rPr>
              <w:t>0.27</w:t>
            </w:r>
          </w:p>
        </w:tc>
        <w:tc>
          <w:tcPr>
            <w:tcW w:type="dxa" w:w="1247"/>
            <w:tcBorders>
              <w:top w:val="nil"/>
              <w:left w:val="nil"/>
              <w:bottom w:val="nil"/>
              <w:right w:val="nil"/>
            </w:tcBorders>
          </w:tcPr>
          <w:p>
            <w:pPr>
              <w:spacing w:after="20"/>
              <w:jc w:val="center"/>
            </w:pPr>
            <w:r>
              <w:rPr>
                <w:b w:val="0"/>
                <w:sz w:val="20"/>
              </w:rPr>
              <w:t>−0.05</w:t>
            </w:r>
          </w:p>
        </w:tc>
      </w:tr>
      <w:tr>
        <w:tc>
          <w:tcPr>
            <w:tcW w:type="dxa" w:w="1814"/>
            <w:tcBorders>
              <w:top w:val="nil"/>
              <w:left w:val="nil"/>
              <w:bottom w:val="nil"/>
              <w:right w:val="nil"/>
            </w:tcBorders>
          </w:tcPr>
          <w:p>
            <w:pPr>
              <w:spacing w:after="20"/>
              <w:jc w:val="left"/>
            </w:pPr>
            <w:r>
              <w:rPr>
                <w:b w:val="0"/>
                <w:sz w:val="20"/>
              </w:rPr>
              <w:t>CCL25</w:t>
            </w:r>
          </w:p>
        </w:tc>
        <w:tc>
          <w:tcPr>
            <w:tcW w:type="dxa" w:w="1247"/>
            <w:tcBorders>
              <w:top w:val="nil"/>
              <w:left w:val="nil"/>
              <w:bottom w:val="nil"/>
              <w:right w:val="nil"/>
            </w:tcBorders>
          </w:tcPr>
          <w:p>
            <w:pPr>
              <w:spacing w:after="20"/>
              <w:jc w:val="center"/>
            </w:pPr>
            <w:r>
              <w:rPr>
                <w:b w:val="0"/>
                <w:sz w:val="20"/>
              </w:rPr>
              <w:t>288</w:t>
            </w:r>
          </w:p>
        </w:tc>
        <w:tc>
          <w:tcPr>
            <w:tcW w:type="dxa" w:w="1247"/>
            <w:tcBorders>
              <w:top w:val="nil"/>
              <w:left w:val="nil"/>
              <w:bottom w:val="nil"/>
              <w:right w:val="nil"/>
            </w:tcBorders>
          </w:tcPr>
          <w:p>
            <w:pPr>
              <w:spacing w:after="20"/>
              <w:jc w:val="center"/>
            </w:pPr>
            <w:r>
              <w:rPr>
                <w:b w:val="0"/>
                <w:sz w:val="20"/>
              </w:rPr>
              <w:t>95</w:t>
            </w:r>
          </w:p>
        </w:tc>
        <w:tc>
          <w:tcPr>
            <w:tcW w:type="dxa" w:w="1134"/>
            <w:tcBorders>
              <w:top w:val="nil"/>
              <w:left w:val="nil"/>
              <w:bottom w:val="nil"/>
              <w:right w:val="nil"/>
            </w:tcBorders>
          </w:tcPr>
          <w:p>
            <w:pPr>
              <w:spacing w:after="20"/>
              <w:jc w:val="center"/>
            </w:pPr>
            <w:r>
              <w:rPr>
                <w:b w:val="0"/>
                <w:sz w:val="20"/>
              </w:rPr>
              <w:t>−6.00</w:t>
            </w:r>
          </w:p>
        </w:tc>
        <w:tc>
          <w:tcPr>
            <w:tcW w:type="dxa" w:w="907"/>
            <w:tcBorders>
              <w:top w:val="nil"/>
              <w:left w:val="nil"/>
              <w:bottom w:val="nil"/>
              <w:right w:val="nil"/>
            </w:tcBorders>
          </w:tcPr>
          <w:p>
            <w:pPr>
              <w:spacing w:after="20"/>
              <w:jc w:val="center"/>
            </w:pPr>
            <w:r>
              <w:rPr>
                <w:b w:val="0"/>
                <w:sz w:val="20"/>
              </w:rPr>
              <w:t>0.0022</w:t>
            </w:r>
          </w:p>
        </w:tc>
        <w:tc>
          <w:tcPr>
            <w:tcW w:type="dxa" w:w="1134"/>
            <w:tcBorders>
              <w:top w:val="nil"/>
              <w:left w:val="nil"/>
              <w:bottom w:val="nil"/>
              <w:right w:val="nil"/>
            </w:tcBorders>
          </w:tcPr>
          <w:p>
            <w:pPr>
              <w:spacing w:after="20"/>
              <w:jc w:val="center"/>
            </w:pPr>
            <w:r>
              <w:rPr>
                <w:b w:val="0"/>
                <w:sz w:val="20"/>
              </w:rPr>
              <w:t>−8.09</w:t>
            </w:r>
          </w:p>
        </w:tc>
        <w:tc>
          <w:tcPr>
            <w:tcW w:type="dxa" w:w="907"/>
            <w:tcBorders>
              <w:top w:val="nil"/>
              <w:left w:val="nil"/>
              <w:bottom w:val="nil"/>
              <w:right w:val="nil"/>
            </w:tcBorders>
          </w:tcPr>
          <w:p>
            <w:pPr>
              <w:spacing w:after="20"/>
              <w:jc w:val="center"/>
            </w:pPr>
            <w:r>
              <w:rPr>
                <w:b w:val="0"/>
                <w:sz w:val="20"/>
              </w:rPr>
              <w:t>0.0003</w:t>
            </w:r>
          </w:p>
        </w:tc>
        <w:tc>
          <w:tcPr>
            <w:tcW w:type="dxa" w:w="1361"/>
            <w:tcBorders>
              <w:top w:val="nil"/>
              <w:left w:val="nil"/>
              <w:bottom w:val="nil"/>
              <w:right w:val="nil"/>
            </w:tcBorders>
          </w:tcPr>
          <w:p>
            <w:pPr>
              <w:spacing w:after="20"/>
              <w:jc w:val="center"/>
            </w:pPr>
            <w:r>
              <w:rPr>
                <w:b w:val="0"/>
                <w:sz w:val="20"/>
              </w:rPr>
              <w:t>+35%</w:t>
            </w:r>
          </w:p>
        </w:tc>
        <w:tc>
          <w:tcPr>
            <w:tcW w:type="dxa" w:w="907"/>
            <w:tcBorders>
              <w:top w:val="nil"/>
              <w:left w:val="nil"/>
              <w:bottom w:val="nil"/>
              <w:right w:val="nil"/>
            </w:tcBorders>
          </w:tcPr>
          <w:p>
            <w:pPr>
              <w:spacing w:after="20"/>
              <w:jc w:val="center"/>
            </w:pPr>
            <w:r>
              <w:rPr>
                <w:b w:val="0"/>
                <w:sz w:val="20"/>
              </w:rPr>
              <w:t>0.033</w:t>
            </w:r>
          </w:p>
        </w:tc>
        <w:tc>
          <w:tcPr>
            <w:tcW w:type="dxa" w:w="1247"/>
            <w:tcBorders>
              <w:top w:val="nil"/>
              <w:left w:val="nil"/>
              <w:bottom w:val="nil"/>
              <w:right w:val="nil"/>
            </w:tcBorders>
          </w:tcPr>
          <w:p>
            <w:pPr>
              <w:spacing w:after="20"/>
              <w:jc w:val="center"/>
            </w:pPr>
            <w:r>
              <w:rPr>
                <w:b w:val="0"/>
                <w:sz w:val="20"/>
              </w:rPr>
              <w:t>−0.08</w:t>
            </w:r>
          </w:p>
        </w:tc>
        <w:tc>
          <w:tcPr>
            <w:tcW w:type="dxa" w:w="1247"/>
            <w:tcBorders>
              <w:top w:val="nil"/>
              <w:left w:val="nil"/>
              <w:bottom w:val="nil"/>
              <w:right w:val="nil"/>
            </w:tcBorders>
          </w:tcPr>
          <w:p>
            <w:pPr>
              <w:spacing w:after="20"/>
              <w:jc w:val="center"/>
            </w:pPr>
            <w:r>
              <w:rPr>
                <w:b w:val="0"/>
                <w:sz w:val="20"/>
              </w:rPr>
              <w:t>0.68</w:t>
            </w:r>
          </w:p>
        </w:tc>
        <w:tc>
          <w:tcPr>
            <w:tcW w:type="dxa" w:w="1247"/>
            <w:tcBorders>
              <w:top w:val="nil"/>
              <w:left w:val="nil"/>
              <w:bottom w:val="nil"/>
              <w:right w:val="nil"/>
            </w:tcBorders>
          </w:tcPr>
          <w:p>
            <w:pPr>
              <w:spacing w:after="20"/>
              <w:jc w:val="center"/>
            </w:pPr>
            <w:r>
              <w:rPr>
                <w:b w:val="0"/>
                <w:sz w:val="20"/>
              </w:rPr>
              <w:t>0.71</w:t>
            </w:r>
          </w:p>
        </w:tc>
      </w:tr>
      <w:tr>
        <w:tc>
          <w:tcPr>
            <w:tcW w:type="dxa" w:w="1814"/>
            <w:tcBorders>
              <w:top w:val="nil"/>
              <w:left w:val="nil"/>
              <w:bottom w:val="single" w:sz="8" w:color="000000"/>
              <w:right w:val="nil"/>
            </w:tcBorders>
          </w:tcPr>
          <w:p>
            <w:pPr>
              <w:spacing w:after="20"/>
              <w:jc w:val="left"/>
            </w:pPr>
            <w:r>
              <w:rPr>
                <w:b w:val="0"/>
                <w:sz w:val="20"/>
              </w:rPr>
              <w:t>TWEAK</w:t>
            </w:r>
          </w:p>
        </w:tc>
        <w:tc>
          <w:tcPr>
            <w:tcW w:type="dxa" w:w="1247"/>
            <w:tcBorders>
              <w:top w:val="nil"/>
              <w:left w:val="nil"/>
              <w:bottom w:val="single" w:sz="8" w:color="000000"/>
              <w:right w:val="nil"/>
            </w:tcBorders>
          </w:tcPr>
          <w:p>
            <w:pPr>
              <w:spacing w:after="20"/>
              <w:jc w:val="center"/>
            </w:pPr>
            <w:r>
              <w:rPr>
                <w:b w:val="0"/>
                <w:sz w:val="20"/>
              </w:rPr>
              <w:t>5175</w:t>
            </w:r>
          </w:p>
        </w:tc>
        <w:tc>
          <w:tcPr>
            <w:tcW w:type="dxa" w:w="1247"/>
            <w:tcBorders>
              <w:top w:val="nil"/>
              <w:left w:val="nil"/>
              <w:bottom w:val="single" w:sz="8" w:color="000000"/>
              <w:right w:val="nil"/>
            </w:tcBorders>
          </w:tcPr>
          <w:p>
            <w:pPr>
              <w:spacing w:after="20"/>
              <w:jc w:val="center"/>
            </w:pPr>
            <w:r>
              <w:rPr>
                <w:b w:val="0"/>
                <w:sz w:val="20"/>
              </w:rPr>
              <w:t>1769</w:t>
            </w:r>
          </w:p>
        </w:tc>
        <w:tc>
          <w:tcPr>
            <w:tcW w:type="dxa" w:w="1134"/>
            <w:tcBorders>
              <w:top w:val="nil"/>
              <w:left w:val="nil"/>
              <w:bottom w:val="single" w:sz="8" w:color="000000"/>
              <w:right w:val="nil"/>
            </w:tcBorders>
          </w:tcPr>
          <w:p>
            <w:pPr>
              <w:spacing w:after="20"/>
              <w:jc w:val="center"/>
            </w:pPr>
            <w:r>
              <w:rPr>
                <w:b w:val="0"/>
                <w:sz w:val="20"/>
              </w:rPr>
              <w:t>−5.57</w:t>
            </w:r>
          </w:p>
        </w:tc>
        <w:tc>
          <w:tcPr>
            <w:tcW w:type="dxa" w:w="907"/>
            <w:tcBorders>
              <w:top w:val="nil"/>
              <w:left w:val="nil"/>
              <w:bottom w:val="single" w:sz="8" w:color="000000"/>
              <w:right w:val="nil"/>
            </w:tcBorders>
          </w:tcPr>
          <w:p>
            <w:pPr>
              <w:spacing w:after="20"/>
              <w:jc w:val="center"/>
            </w:pPr>
            <w:r>
              <w:rPr>
                <w:b w:val="0"/>
                <w:sz w:val="20"/>
              </w:rPr>
              <w:t>0.0062</w:t>
            </w:r>
          </w:p>
        </w:tc>
        <w:tc>
          <w:tcPr>
            <w:tcW w:type="dxa" w:w="1134"/>
            <w:tcBorders>
              <w:top w:val="nil"/>
              <w:left w:val="nil"/>
              <w:bottom w:val="single" w:sz="8" w:color="000000"/>
              <w:right w:val="nil"/>
            </w:tcBorders>
          </w:tcPr>
          <w:p>
            <w:pPr>
              <w:spacing w:after="20"/>
              <w:jc w:val="center"/>
            </w:pPr>
            <w:r>
              <w:rPr>
                <w:b w:val="0"/>
                <w:sz w:val="20"/>
              </w:rPr>
              <w:t>−6.82</w:t>
            </w:r>
          </w:p>
        </w:tc>
        <w:tc>
          <w:tcPr>
            <w:tcW w:type="dxa" w:w="907"/>
            <w:tcBorders>
              <w:top w:val="nil"/>
              <w:left w:val="nil"/>
              <w:bottom w:val="single" w:sz="8" w:color="000000"/>
              <w:right w:val="nil"/>
            </w:tcBorders>
          </w:tcPr>
          <w:p>
            <w:pPr>
              <w:spacing w:after="20"/>
              <w:jc w:val="center"/>
            </w:pPr>
            <w:r>
              <w:rPr>
                <w:b w:val="0"/>
                <w:sz w:val="20"/>
              </w:rPr>
              <w:t>0.0056</w:t>
            </w:r>
          </w:p>
        </w:tc>
        <w:tc>
          <w:tcPr>
            <w:tcW w:type="dxa" w:w="1361"/>
            <w:tcBorders>
              <w:top w:val="nil"/>
              <w:left w:val="nil"/>
              <w:bottom w:val="single" w:sz="8" w:color="000000"/>
              <w:right w:val="nil"/>
            </w:tcBorders>
          </w:tcPr>
          <w:p>
            <w:pPr>
              <w:spacing w:after="20"/>
              <w:jc w:val="center"/>
            </w:pPr>
            <w:r>
              <w:rPr>
                <w:b w:val="0"/>
                <w:sz w:val="20"/>
              </w:rPr>
              <w:t>+22%</w:t>
            </w:r>
          </w:p>
        </w:tc>
        <w:tc>
          <w:tcPr>
            <w:tcW w:type="dxa" w:w="907"/>
            <w:tcBorders>
              <w:top w:val="nil"/>
              <w:left w:val="nil"/>
              <w:bottom w:val="single" w:sz="8" w:color="000000"/>
              <w:right w:val="nil"/>
            </w:tcBorders>
          </w:tcPr>
          <w:p>
            <w:pPr>
              <w:spacing w:after="20"/>
              <w:jc w:val="center"/>
            </w:pPr>
            <w:r>
              <w:rPr>
                <w:b w:val="0"/>
                <w:sz w:val="20"/>
              </w:rPr>
              <w:t>0.28</w:t>
            </w:r>
          </w:p>
        </w:tc>
        <w:tc>
          <w:tcPr>
            <w:tcW w:type="dxa" w:w="1247"/>
            <w:tcBorders>
              <w:top w:val="nil"/>
              <w:left w:val="nil"/>
              <w:bottom w:val="single" w:sz="8" w:color="000000"/>
              <w:right w:val="nil"/>
            </w:tcBorders>
          </w:tcPr>
          <w:p>
            <w:pPr>
              <w:spacing w:after="20"/>
              <w:jc w:val="center"/>
            </w:pPr>
            <w:r>
              <w:rPr>
                <w:b w:val="0"/>
                <w:sz w:val="20"/>
              </w:rPr>
              <w:t>−0.18</w:t>
            </w:r>
          </w:p>
        </w:tc>
        <w:tc>
          <w:tcPr>
            <w:tcW w:type="dxa" w:w="1247"/>
            <w:tcBorders>
              <w:top w:val="nil"/>
              <w:left w:val="nil"/>
              <w:bottom w:val="single" w:sz="8" w:color="000000"/>
              <w:right w:val="nil"/>
            </w:tcBorders>
          </w:tcPr>
          <w:p>
            <w:pPr>
              <w:spacing w:after="20"/>
              <w:jc w:val="center"/>
            </w:pPr>
            <w:r>
              <w:rPr>
                <w:b w:val="0"/>
                <w:sz w:val="20"/>
              </w:rPr>
              <w:t>0.39</w:t>
            </w:r>
          </w:p>
        </w:tc>
        <w:tc>
          <w:tcPr>
            <w:tcW w:type="dxa" w:w="1247"/>
            <w:tcBorders>
              <w:top w:val="nil"/>
              <w:left w:val="nil"/>
              <w:bottom w:val="single" w:sz="8" w:color="000000"/>
              <w:right w:val="nil"/>
            </w:tcBorders>
          </w:tcPr>
          <w:p>
            <w:pPr>
              <w:spacing w:after="20"/>
              <w:jc w:val="center"/>
            </w:pPr>
            <w:r>
              <w:rPr>
                <w:b w:val="0"/>
                <w:sz w:val="20"/>
              </w:rPr>
              <w:t>0.14</w:t>
            </w:r>
          </w:p>
        </w:tc>
      </w:tr>
    </w:tbl>
    <w:p>
      <w:pPr>
        <w:spacing w:after="120" w:before="0"/>
      </w:pPr>
      <w:r>
        <w:rPr>
          <w:b w:val="0"/>
          <w:i w:val="0"/>
          <w:sz w:val="20"/>
        </w:rPr>
      </w:r>
    </w:p>
    <w:p>
      <w:pPr>
        <w:spacing w:after="60" w:before="0"/>
      </w:pPr>
      <w:r>
        <w:rPr>
          <w:b/>
          <w:i w:val="0"/>
          <w:sz w:val="20"/>
        </w:rPr>
        <w:t>B. Concentrations in the two PE cases with BMI &lt; 30 kg/m² compared with the control distribution</w:t>
      </w:r>
    </w:p>
    <w:tbl>
      <w:tblPr>
        <w:tblW w:type="auto" w:w="0"/>
        <w:tblLayout w:type="fixed"/>
        <w:tblLook w:firstColumn="1" w:firstRow="1" w:lastColumn="0" w:lastRow="0" w:noHBand="0" w:noVBand="1" w:val="04A0"/>
        <w:tblLayout w:type="fixed"/>
      </w:tblPr>
      <w:tblGrid>
        <w:gridCol w:w="1814"/>
        <w:gridCol w:w="2608"/>
        <w:gridCol w:w="2381"/>
        <w:gridCol w:w="1814"/>
        <w:gridCol w:w="1814"/>
        <w:gridCol w:w="1814"/>
        <w:gridCol w:w="1814"/>
      </w:tblGrid>
      <w:tr>
        <w:tc>
          <w:tcPr>
            <w:tcW w:type="dxa" w:w="1814"/>
            <w:tcBorders>
              <w:top w:val="single" w:sz="8" w:color="000000"/>
              <w:left w:val="nil"/>
              <w:bottom w:val="single" w:sz="4" w:color="000000"/>
              <w:right w:val="nil"/>
            </w:tcBorders>
          </w:tcPr>
          <w:p>
            <w:pPr>
              <w:spacing w:after="20"/>
              <w:jc w:val="left"/>
            </w:pPr>
            <w:r>
              <w:rPr>
                <w:b/>
                <w:sz w:val="20"/>
              </w:rPr>
              <w:t>Analyte</w:t>
            </w:r>
          </w:p>
        </w:tc>
        <w:tc>
          <w:tcPr>
            <w:tcW w:type="dxa" w:w="2608"/>
            <w:tcBorders>
              <w:top w:val="single" w:sz="8" w:color="000000"/>
              <w:left w:val="nil"/>
              <w:bottom w:val="single" w:sz="4" w:color="000000"/>
              <w:right w:val="nil"/>
            </w:tcBorders>
          </w:tcPr>
          <w:p>
            <w:pPr>
              <w:spacing w:after="20"/>
              <w:jc w:val="center"/>
            </w:pPr>
            <w:r>
              <w:rPr>
                <w:b/>
                <w:sz w:val="20"/>
              </w:rPr>
              <w:t>CNT median (range), pg/ml</w:t>
            </w:r>
          </w:p>
        </w:tc>
        <w:tc>
          <w:tcPr>
            <w:tcW w:type="dxa" w:w="2381"/>
            <w:tcBorders>
              <w:top w:val="single" w:sz="8" w:color="000000"/>
              <w:left w:val="nil"/>
              <w:bottom w:val="single" w:sz="4" w:color="000000"/>
              <w:right w:val="nil"/>
            </w:tcBorders>
          </w:tcPr>
          <w:p>
            <w:pPr>
              <w:spacing w:after="20"/>
              <w:jc w:val="center"/>
            </w:pPr>
            <w:r>
              <w:rPr>
                <w:b/>
                <w:sz w:val="20"/>
              </w:rPr>
              <w:t>PE with BMI ≥ 30 kg/m², median (n = 5)</w:t>
            </w:r>
          </w:p>
        </w:tc>
        <w:tc>
          <w:tcPr>
            <w:tcW w:type="dxa" w:w="1814"/>
            <w:tcBorders>
              <w:top w:val="single" w:sz="8" w:color="000000"/>
              <w:left w:val="nil"/>
              <w:bottom w:val="single" w:sz="4" w:color="000000"/>
              <w:right w:val="nil"/>
            </w:tcBorders>
          </w:tcPr>
          <w:p>
            <w:pPr>
              <w:spacing w:after="20"/>
              <w:jc w:val="center"/>
            </w:pPr>
            <w:r>
              <w:rPr>
                <w:b/>
                <w:sz w:val="20"/>
              </w:rPr>
              <w:t>PE case, BMI 25.3 kg/m²</w:t>
            </w:r>
          </w:p>
        </w:tc>
        <w:tc>
          <w:tcPr>
            <w:tcW w:type="dxa" w:w="1814"/>
            <w:tcBorders>
              <w:top w:val="single" w:sz="8" w:color="000000"/>
              <w:left w:val="nil"/>
              <w:bottom w:val="single" w:sz="4" w:color="000000"/>
              <w:right w:val="nil"/>
            </w:tcBorders>
          </w:tcPr>
          <w:p>
            <w:pPr>
              <w:spacing w:after="20"/>
              <w:jc w:val="center"/>
            </w:pPr>
            <w:r>
              <w:rPr>
                <w:b/>
                <w:sz w:val="20"/>
              </w:rPr>
              <w:t>PE case, BMI 24.0 kg/m²</w:t>
            </w:r>
          </w:p>
        </w:tc>
        <w:tc>
          <w:tcPr>
            <w:tcW w:type="dxa" w:w="1814"/>
            <w:tcBorders>
              <w:top w:val="single" w:sz="8" w:color="000000"/>
              <w:left w:val="nil"/>
              <w:bottom w:val="single" w:sz="4" w:color="000000"/>
              <w:right w:val="nil"/>
            </w:tcBorders>
          </w:tcPr>
          <w:p>
            <w:pPr>
              <w:spacing w:after="20"/>
              <w:jc w:val="center"/>
            </w:pPr>
            <w:r>
              <w:rPr>
                <w:b/>
                <w:sz w:val="20"/>
              </w:rPr>
              <w:t>Both below CNT median</w:t>
            </w:r>
          </w:p>
        </w:tc>
        <w:tc>
          <w:tcPr>
            <w:tcW w:type="dxa" w:w="1814"/>
            <w:tcBorders>
              <w:top w:val="single" w:sz="8" w:color="000000"/>
              <w:left w:val="nil"/>
              <w:bottom w:val="single" w:sz="4" w:color="000000"/>
              <w:right w:val="nil"/>
            </w:tcBorders>
          </w:tcPr>
          <w:p>
            <w:pPr>
              <w:spacing w:after="20"/>
              <w:jc w:val="center"/>
            </w:pPr>
            <w:r>
              <w:rPr>
                <w:b/>
                <w:sz w:val="20"/>
              </w:rPr>
              <w:t>Both below CNT minimum</w:t>
            </w:r>
          </w:p>
        </w:tc>
      </w:tr>
      <w:tr>
        <w:tc>
          <w:tcPr>
            <w:tcW w:type="dxa" w:w="1814"/>
            <w:tcBorders>
              <w:top w:val="nil"/>
              <w:left w:val="nil"/>
              <w:bottom w:val="nil"/>
              <w:right w:val="nil"/>
            </w:tcBorders>
          </w:tcPr>
          <w:p>
            <w:pPr>
              <w:spacing w:after="20"/>
              <w:jc w:val="left"/>
            </w:pPr>
            <w:r>
              <w:rPr>
                <w:b w:val="0"/>
                <w:sz w:val="20"/>
              </w:rPr>
              <w:t>Eotaxin</w:t>
            </w:r>
          </w:p>
        </w:tc>
        <w:tc>
          <w:tcPr>
            <w:tcW w:type="dxa" w:w="2608"/>
            <w:tcBorders>
              <w:top w:val="nil"/>
              <w:left w:val="nil"/>
              <w:bottom w:val="nil"/>
              <w:right w:val="nil"/>
            </w:tcBorders>
          </w:tcPr>
          <w:p>
            <w:pPr>
              <w:spacing w:after="20"/>
              <w:jc w:val="center"/>
            </w:pPr>
            <w:r>
              <w:rPr>
                <w:b w:val="0"/>
                <w:sz w:val="20"/>
              </w:rPr>
              <w:t>86.2 (52.0–145.7)</w:t>
            </w:r>
          </w:p>
        </w:tc>
        <w:tc>
          <w:tcPr>
            <w:tcW w:type="dxa" w:w="2381"/>
            <w:tcBorders>
              <w:top w:val="nil"/>
              <w:left w:val="nil"/>
              <w:bottom w:val="nil"/>
              <w:right w:val="nil"/>
            </w:tcBorders>
          </w:tcPr>
          <w:p>
            <w:pPr>
              <w:spacing w:after="20"/>
              <w:jc w:val="center"/>
            </w:pPr>
            <w:r>
              <w:rPr>
                <w:b w:val="0"/>
                <w:sz w:val="20"/>
              </w:rPr>
              <w:t>52.1</w:t>
            </w:r>
          </w:p>
        </w:tc>
        <w:tc>
          <w:tcPr>
            <w:tcW w:type="dxa" w:w="1814"/>
            <w:tcBorders>
              <w:top w:val="nil"/>
              <w:left w:val="nil"/>
              <w:bottom w:val="nil"/>
              <w:right w:val="nil"/>
            </w:tcBorders>
          </w:tcPr>
          <w:p>
            <w:pPr>
              <w:spacing w:after="20"/>
              <w:jc w:val="center"/>
            </w:pPr>
            <w:r>
              <w:rPr>
                <w:b w:val="0"/>
                <w:sz w:val="20"/>
              </w:rPr>
              <w:t>45.4</w:t>
            </w:r>
          </w:p>
        </w:tc>
        <w:tc>
          <w:tcPr>
            <w:tcW w:type="dxa" w:w="1814"/>
            <w:tcBorders>
              <w:top w:val="nil"/>
              <w:left w:val="nil"/>
              <w:bottom w:val="nil"/>
              <w:right w:val="nil"/>
            </w:tcBorders>
          </w:tcPr>
          <w:p>
            <w:pPr>
              <w:spacing w:after="20"/>
              <w:jc w:val="center"/>
            </w:pPr>
            <w:r>
              <w:rPr>
                <w:b w:val="0"/>
                <w:sz w:val="20"/>
              </w:rPr>
              <w:t>17.6</w:t>
            </w:r>
          </w:p>
        </w:tc>
        <w:tc>
          <w:tcPr>
            <w:tcW w:type="dxa" w:w="1814"/>
            <w:tcBorders>
              <w:top w:val="nil"/>
              <w:left w:val="nil"/>
              <w:bottom w:val="nil"/>
              <w:right w:val="nil"/>
            </w:tcBorders>
          </w:tcPr>
          <w:p>
            <w:pPr>
              <w:spacing w:after="20"/>
              <w:jc w:val="center"/>
            </w:pPr>
            <w:r>
              <w:rPr>
                <w:b w:val="0"/>
                <w:sz w:val="20"/>
              </w:rPr>
              <w:t>Yes</w:t>
            </w:r>
          </w:p>
        </w:tc>
        <w:tc>
          <w:tcPr>
            <w:tcW w:type="dxa" w:w="1814"/>
            <w:tcBorders>
              <w:top w:val="nil"/>
              <w:left w:val="nil"/>
              <w:bottom w:val="nil"/>
              <w:right w:val="nil"/>
            </w:tcBorders>
          </w:tcPr>
          <w:p>
            <w:pPr>
              <w:spacing w:after="20"/>
              <w:jc w:val="center"/>
            </w:pPr>
            <w:r>
              <w:rPr>
                <w:b w:val="0"/>
                <w:sz w:val="20"/>
              </w:rPr>
              <w:t>Yes</w:t>
            </w:r>
          </w:p>
        </w:tc>
      </w:tr>
      <w:tr>
        <w:tc>
          <w:tcPr>
            <w:tcW w:type="dxa" w:w="1814"/>
            <w:tcBorders>
              <w:top w:val="nil"/>
              <w:left w:val="nil"/>
              <w:bottom w:val="nil"/>
              <w:right w:val="nil"/>
            </w:tcBorders>
          </w:tcPr>
          <w:p>
            <w:pPr>
              <w:spacing w:after="20"/>
              <w:jc w:val="left"/>
            </w:pPr>
            <w:r>
              <w:rPr>
                <w:b w:val="0"/>
                <w:sz w:val="20"/>
              </w:rPr>
              <w:t>Granzyme A</w:t>
            </w:r>
          </w:p>
        </w:tc>
        <w:tc>
          <w:tcPr>
            <w:tcW w:type="dxa" w:w="2608"/>
            <w:tcBorders>
              <w:top w:val="nil"/>
              <w:left w:val="nil"/>
              <w:bottom w:val="nil"/>
              <w:right w:val="nil"/>
            </w:tcBorders>
          </w:tcPr>
          <w:p>
            <w:pPr>
              <w:spacing w:after="20"/>
              <w:jc w:val="center"/>
            </w:pPr>
            <w:r>
              <w:rPr>
                <w:b w:val="0"/>
                <w:sz w:val="20"/>
              </w:rPr>
              <w:t>9.07 (4.41–13.32)</w:t>
            </w:r>
          </w:p>
        </w:tc>
        <w:tc>
          <w:tcPr>
            <w:tcW w:type="dxa" w:w="2381"/>
            <w:tcBorders>
              <w:top w:val="nil"/>
              <w:left w:val="nil"/>
              <w:bottom w:val="nil"/>
              <w:right w:val="nil"/>
            </w:tcBorders>
          </w:tcPr>
          <w:p>
            <w:pPr>
              <w:spacing w:after="20"/>
              <w:jc w:val="center"/>
            </w:pPr>
            <w:r>
              <w:rPr>
                <w:b w:val="0"/>
                <w:sz w:val="20"/>
              </w:rPr>
              <w:t>5.47</w:t>
            </w:r>
          </w:p>
        </w:tc>
        <w:tc>
          <w:tcPr>
            <w:tcW w:type="dxa" w:w="1814"/>
            <w:tcBorders>
              <w:top w:val="nil"/>
              <w:left w:val="nil"/>
              <w:bottom w:val="nil"/>
              <w:right w:val="nil"/>
            </w:tcBorders>
          </w:tcPr>
          <w:p>
            <w:pPr>
              <w:spacing w:after="20"/>
              <w:jc w:val="center"/>
            </w:pPr>
            <w:r>
              <w:rPr>
                <w:b w:val="0"/>
                <w:sz w:val="20"/>
              </w:rPr>
              <w:t>5.97</w:t>
            </w:r>
          </w:p>
        </w:tc>
        <w:tc>
          <w:tcPr>
            <w:tcW w:type="dxa" w:w="1814"/>
            <w:tcBorders>
              <w:top w:val="nil"/>
              <w:left w:val="nil"/>
              <w:bottom w:val="nil"/>
              <w:right w:val="nil"/>
            </w:tcBorders>
          </w:tcPr>
          <w:p>
            <w:pPr>
              <w:spacing w:after="20"/>
              <w:jc w:val="center"/>
            </w:pPr>
            <w:r>
              <w:rPr>
                <w:b w:val="0"/>
                <w:sz w:val="20"/>
              </w:rPr>
              <w:t>5.47</w:t>
            </w:r>
          </w:p>
        </w:tc>
        <w:tc>
          <w:tcPr>
            <w:tcW w:type="dxa" w:w="1814"/>
            <w:tcBorders>
              <w:top w:val="nil"/>
              <w:left w:val="nil"/>
              <w:bottom w:val="nil"/>
              <w:right w:val="nil"/>
            </w:tcBorders>
          </w:tcPr>
          <w:p>
            <w:pPr>
              <w:spacing w:after="20"/>
              <w:jc w:val="center"/>
            </w:pPr>
            <w:r>
              <w:rPr>
                <w:b w:val="0"/>
                <w:sz w:val="20"/>
              </w:rPr>
              <w:t>Yes</w:t>
            </w:r>
          </w:p>
        </w:tc>
        <w:tc>
          <w:tcPr>
            <w:tcW w:type="dxa" w:w="1814"/>
            <w:tcBorders>
              <w:top w:val="nil"/>
              <w:left w:val="nil"/>
              <w:bottom w:val="nil"/>
              <w:right w:val="nil"/>
            </w:tcBorders>
          </w:tcPr>
          <w:p>
            <w:pPr>
              <w:spacing w:after="20"/>
              <w:jc w:val="center"/>
            </w:pPr>
            <w:r>
              <w:rPr>
                <w:b w:val="0"/>
                <w:sz w:val="20"/>
              </w:rPr>
              <w:t>No</w:t>
            </w:r>
          </w:p>
        </w:tc>
      </w:tr>
      <w:tr>
        <w:tc>
          <w:tcPr>
            <w:tcW w:type="dxa" w:w="1814"/>
            <w:tcBorders>
              <w:top w:val="nil"/>
              <w:left w:val="nil"/>
              <w:bottom w:val="nil"/>
              <w:right w:val="nil"/>
            </w:tcBorders>
          </w:tcPr>
          <w:p>
            <w:pPr>
              <w:spacing w:after="20"/>
              <w:jc w:val="left"/>
            </w:pPr>
            <w:r>
              <w:rPr>
                <w:b w:val="0"/>
                <w:sz w:val="20"/>
              </w:rPr>
              <w:t>CCL25</w:t>
            </w:r>
          </w:p>
        </w:tc>
        <w:tc>
          <w:tcPr>
            <w:tcW w:type="dxa" w:w="2608"/>
            <w:tcBorders>
              <w:top w:val="nil"/>
              <w:left w:val="nil"/>
              <w:bottom w:val="nil"/>
              <w:right w:val="nil"/>
            </w:tcBorders>
          </w:tcPr>
          <w:p>
            <w:pPr>
              <w:spacing w:after="20"/>
              <w:jc w:val="center"/>
            </w:pPr>
            <w:r>
              <w:rPr>
                <w:b w:val="0"/>
                <w:sz w:val="20"/>
              </w:rPr>
              <w:t>288 (95–10446)</w:t>
            </w:r>
          </w:p>
        </w:tc>
        <w:tc>
          <w:tcPr>
            <w:tcW w:type="dxa" w:w="2381"/>
            <w:tcBorders>
              <w:top w:val="nil"/>
              <w:left w:val="nil"/>
              <w:bottom w:val="nil"/>
              <w:right w:val="nil"/>
            </w:tcBorders>
          </w:tcPr>
          <w:p>
            <w:pPr>
              <w:spacing w:after="20"/>
              <w:jc w:val="center"/>
            </w:pPr>
            <w:r>
              <w:rPr>
                <w:b w:val="0"/>
                <w:sz w:val="20"/>
              </w:rPr>
              <w:t>116</w:t>
            </w:r>
          </w:p>
        </w:tc>
        <w:tc>
          <w:tcPr>
            <w:tcW w:type="dxa" w:w="1814"/>
            <w:tcBorders>
              <w:top w:val="nil"/>
              <w:left w:val="nil"/>
              <w:bottom w:val="nil"/>
              <w:right w:val="nil"/>
            </w:tcBorders>
          </w:tcPr>
          <w:p>
            <w:pPr>
              <w:spacing w:after="20"/>
              <w:jc w:val="center"/>
            </w:pPr>
            <w:r>
              <w:rPr>
                <w:b w:val="0"/>
                <w:sz w:val="20"/>
              </w:rPr>
              <w:t>60</w:t>
            </w:r>
          </w:p>
        </w:tc>
        <w:tc>
          <w:tcPr>
            <w:tcW w:type="dxa" w:w="1814"/>
            <w:tcBorders>
              <w:top w:val="nil"/>
              <w:left w:val="nil"/>
              <w:bottom w:val="nil"/>
              <w:right w:val="nil"/>
            </w:tcBorders>
          </w:tcPr>
          <w:p>
            <w:pPr>
              <w:spacing w:after="20"/>
              <w:jc w:val="center"/>
            </w:pPr>
            <w:r>
              <w:rPr>
                <w:b w:val="0"/>
                <w:sz w:val="20"/>
              </w:rPr>
              <w:t>94</w:t>
            </w:r>
          </w:p>
        </w:tc>
        <w:tc>
          <w:tcPr>
            <w:tcW w:type="dxa" w:w="1814"/>
            <w:tcBorders>
              <w:top w:val="nil"/>
              <w:left w:val="nil"/>
              <w:bottom w:val="nil"/>
              <w:right w:val="nil"/>
            </w:tcBorders>
          </w:tcPr>
          <w:p>
            <w:pPr>
              <w:spacing w:after="20"/>
              <w:jc w:val="center"/>
            </w:pPr>
            <w:r>
              <w:rPr>
                <w:b w:val="0"/>
                <w:sz w:val="20"/>
              </w:rPr>
              <w:t>Yes</w:t>
            </w:r>
          </w:p>
        </w:tc>
        <w:tc>
          <w:tcPr>
            <w:tcW w:type="dxa" w:w="1814"/>
            <w:tcBorders>
              <w:top w:val="nil"/>
              <w:left w:val="nil"/>
              <w:bottom w:val="nil"/>
              <w:right w:val="nil"/>
            </w:tcBorders>
          </w:tcPr>
          <w:p>
            <w:pPr>
              <w:spacing w:after="20"/>
              <w:jc w:val="center"/>
            </w:pPr>
            <w:r>
              <w:rPr>
                <w:b w:val="0"/>
                <w:sz w:val="20"/>
              </w:rPr>
              <w:t>Yes</w:t>
            </w:r>
          </w:p>
        </w:tc>
      </w:tr>
      <w:tr>
        <w:tc>
          <w:tcPr>
            <w:tcW w:type="dxa" w:w="1814"/>
            <w:tcBorders>
              <w:top w:val="nil"/>
              <w:left w:val="nil"/>
              <w:bottom w:val="nil"/>
              <w:right w:val="nil"/>
            </w:tcBorders>
          </w:tcPr>
          <w:p>
            <w:pPr>
              <w:spacing w:after="20"/>
              <w:jc w:val="left"/>
            </w:pPr>
            <w:r>
              <w:rPr>
                <w:b w:val="0"/>
                <w:sz w:val="20"/>
              </w:rPr>
              <w:t>TWEAK</w:t>
            </w:r>
          </w:p>
        </w:tc>
        <w:tc>
          <w:tcPr>
            <w:tcW w:type="dxa" w:w="2608"/>
            <w:tcBorders>
              <w:top w:val="nil"/>
              <w:left w:val="nil"/>
              <w:bottom w:val="nil"/>
              <w:right w:val="nil"/>
            </w:tcBorders>
          </w:tcPr>
          <w:p>
            <w:pPr>
              <w:spacing w:after="20"/>
              <w:jc w:val="center"/>
            </w:pPr>
            <w:r>
              <w:rPr>
                <w:b w:val="0"/>
                <w:sz w:val="20"/>
              </w:rPr>
              <w:t>5175 (3684–40701)</w:t>
            </w:r>
          </w:p>
        </w:tc>
        <w:tc>
          <w:tcPr>
            <w:tcW w:type="dxa" w:w="2381"/>
            <w:tcBorders>
              <w:top w:val="nil"/>
              <w:left w:val="nil"/>
              <w:bottom w:val="nil"/>
              <w:right w:val="nil"/>
            </w:tcBorders>
          </w:tcPr>
          <w:p>
            <w:pPr>
              <w:spacing w:after="20"/>
              <w:jc w:val="center"/>
            </w:pPr>
            <w:r>
              <w:rPr>
                <w:b w:val="0"/>
                <w:sz w:val="20"/>
              </w:rPr>
              <w:t>1769</w:t>
            </w:r>
          </w:p>
        </w:tc>
        <w:tc>
          <w:tcPr>
            <w:tcW w:type="dxa" w:w="1814"/>
            <w:tcBorders>
              <w:top w:val="nil"/>
              <w:left w:val="nil"/>
              <w:bottom w:val="nil"/>
              <w:right w:val="nil"/>
            </w:tcBorders>
          </w:tcPr>
          <w:p>
            <w:pPr>
              <w:spacing w:after="20"/>
              <w:jc w:val="center"/>
            </w:pPr>
            <w:r>
              <w:rPr>
                <w:b w:val="0"/>
                <w:sz w:val="20"/>
              </w:rPr>
              <w:t>2056</w:t>
            </w:r>
          </w:p>
        </w:tc>
        <w:tc>
          <w:tcPr>
            <w:tcW w:type="dxa" w:w="1814"/>
            <w:tcBorders>
              <w:top w:val="nil"/>
              <w:left w:val="nil"/>
              <w:bottom w:val="nil"/>
              <w:right w:val="nil"/>
            </w:tcBorders>
          </w:tcPr>
          <w:p>
            <w:pPr>
              <w:spacing w:after="20"/>
              <w:jc w:val="center"/>
            </w:pPr>
            <w:r>
              <w:rPr>
                <w:b w:val="0"/>
                <w:sz w:val="20"/>
              </w:rPr>
              <w:t>1462</w:t>
            </w:r>
          </w:p>
        </w:tc>
        <w:tc>
          <w:tcPr>
            <w:tcW w:type="dxa" w:w="1814"/>
            <w:tcBorders>
              <w:top w:val="nil"/>
              <w:left w:val="nil"/>
              <w:bottom w:val="nil"/>
              <w:right w:val="nil"/>
            </w:tcBorders>
          </w:tcPr>
          <w:p>
            <w:pPr>
              <w:spacing w:after="20"/>
              <w:jc w:val="center"/>
            </w:pPr>
            <w:r>
              <w:rPr>
                <w:b w:val="0"/>
                <w:sz w:val="20"/>
              </w:rPr>
              <w:t>Yes</w:t>
            </w:r>
          </w:p>
        </w:tc>
        <w:tc>
          <w:tcPr>
            <w:tcW w:type="dxa" w:w="1814"/>
            <w:tcBorders>
              <w:top w:val="nil"/>
              <w:left w:val="nil"/>
              <w:bottom w:val="nil"/>
              <w:right w:val="nil"/>
            </w:tcBorders>
          </w:tcPr>
          <w:p>
            <w:pPr>
              <w:spacing w:after="20"/>
              <w:jc w:val="center"/>
            </w:pPr>
            <w:r>
              <w:rPr>
                <w:b w:val="0"/>
                <w:sz w:val="20"/>
              </w:rPr>
              <w:t>Yes</w:t>
            </w:r>
          </w:p>
        </w:tc>
      </w:tr>
      <w:tr>
        <w:tc>
          <w:tcPr>
            <w:tcW w:type="dxa" w:w="1814"/>
            <w:tcBorders>
              <w:top w:val="nil"/>
              <w:left w:val="nil"/>
              <w:bottom w:val="single" w:sz="8" w:color="000000"/>
              <w:right w:val="nil"/>
            </w:tcBorders>
          </w:tcPr>
          <w:p>
            <w:pPr>
              <w:spacing w:after="20"/>
              <w:jc w:val="left"/>
            </w:pPr>
            <w:r>
              <w:rPr>
                <w:b w:val="0"/>
                <w:sz w:val="20"/>
              </w:rPr>
              <w:t>IL-20ᵃ</w:t>
            </w:r>
          </w:p>
        </w:tc>
        <w:tc>
          <w:tcPr>
            <w:tcW w:type="dxa" w:w="2608"/>
            <w:tcBorders>
              <w:top w:val="nil"/>
              <w:left w:val="nil"/>
              <w:bottom w:val="single" w:sz="8" w:color="000000"/>
              <w:right w:val="nil"/>
            </w:tcBorders>
          </w:tcPr>
          <w:p>
            <w:pPr>
              <w:spacing w:after="20"/>
              <w:jc w:val="center"/>
            </w:pPr>
            <w:r>
              <w:rPr>
                <w:b w:val="0"/>
                <w:sz w:val="20"/>
              </w:rPr>
              <w:t>14.1 (n.d.–99.1); detected 5/7</w:t>
            </w:r>
          </w:p>
        </w:tc>
        <w:tc>
          <w:tcPr>
            <w:tcW w:type="dxa" w:w="2381"/>
            <w:tcBorders>
              <w:top w:val="nil"/>
              <w:left w:val="nil"/>
              <w:bottom w:val="single" w:sz="8" w:color="000000"/>
              <w:right w:val="nil"/>
            </w:tcBorders>
          </w:tcPr>
          <w:p>
            <w:pPr>
              <w:spacing w:after="20"/>
              <w:jc w:val="center"/>
            </w:pPr>
            <w:r>
              <w:rPr>
                <w:b w:val="0"/>
                <w:sz w:val="20"/>
              </w:rPr>
              <w:t>n.d. (0/5)</w:t>
            </w:r>
          </w:p>
        </w:tc>
        <w:tc>
          <w:tcPr>
            <w:tcW w:type="dxa" w:w="1814"/>
            <w:tcBorders>
              <w:top w:val="nil"/>
              <w:left w:val="nil"/>
              <w:bottom w:val="single" w:sz="8" w:color="000000"/>
              <w:right w:val="nil"/>
            </w:tcBorders>
          </w:tcPr>
          <w:p>
            <w:pPr>
              <w:spacing w:after="20"/>
              <w:jc w:val="center"/>
            </w:pPr>
            <w:r>
              <w:rPr>
                <w:b w:val="0"/>
                <w:sz w:val="20"/>
              </w:rPr>
              <w:t>n.d.</w:t>
            </w:r>
          </w:p>
        </w:tc>
        <w:tc>
          <w:tcPr>
            <w:tcW w:type="dxa" w:w="1814"/>
            <w:tcBorders>
              <w:top w:val="nil"/>
              <w:left w:val="nil"/>
              <w:bottom w:val="single" w:sz="8" w:color="000000"/>
              <w:right w:val="nil"/>
            </w:tcBorders>
          </w:tcPr>
          <w:p>
            <w:pPr>
              <w:spacing w:after="20"/>
              <w:jc w:val="center"/>
            </w:pPr>
            <w:r>
              <w:rPr>
                <w:b w:val="0"/>
                <w:sz w:val="20"/>
              </w:rPr>
              <w:t>n.d.</w:t>
            </w:r>
          </w:p>
        </w:tc>
        <w:tc>
          <w:tcPr>
            <w:tcW w:type="dxa" w:w="1814"/>
            <w:tcBorders>
              <w:top w:val="nil"/>
              <w:left w:val="nil"/>
              <w:bottom w:val="single" w:sz="8" w:color="000000"/>
              <w:right w:val="nil"/>
            </w:tcBorders>
          </w:tcPr>
          <w:p>
            <w:pPr>
              <w:spacing w:after="20"/>
              <w:jc w:val="center"/>
            </w:pPr>
            <w:r>
              <w:rPr>
                <w:b w:val="0"/>
                <w:sz w:val="20"/>
              </w:rPr>
              <w:t>—</w:t>
            </w:r>
          </w:p>
        </w:tc>
        <w:tc>
          <w:tcPr>
            <w:tcW w:type="dxa" w:w="1814"/>
            <w:tcBorders>
              <w:top w:val="nil"/>
              <w:left w:val="nil"/>
              <w:bottom w:val="single" w:sz="8" w:color="000000"/>
              <w:right w:val="nil"/>
            </w:tcBorders>
          </w:tcPr>
          <w:p>
            <w:pPr>
              <w:spacing w:after="20"/>
              <w:jc w:val="center"/>
            </w:pPr>
            <w:r>
              <w:rPr>
                <w:b w:val="0"/>
                <w:sz w:val="20"/>
              </w:rPr>
              <w:t>—</w:t>
            </w:r>
          </w:p>
        </w:tc>
      </w:tr>
    </w:tbl>
    <w:p>
      <w:pPr>
        <w:spacing w:after="80" w:before="0"/>
      </w:pPr>
      <w:r>
        <w:rPr>
          <w:b w:val="0"/>
          <w:i w:val="0"/>
          <w:sz w:val="20"/>
        </w:rPr>
      </w:r>
    </w:p>
    <w:p>
      <w:pPr>
        <w:spacing w:after="80"/>
        <w:jc w:val="both"/>
      </w:pPr>
      <w:r>
        <w:rPr>
          <w:b/>
          <w:sz w:val="20"/>
        </w:rPr>
        <w:t xml:space="preserve">Supplementary Table S3. Sensitivity analysis for confounding by maternal body mass index (BMI). </w:t>
      </w:r>
      <w:r>
        <w:rPr>
          <w:sz w:val="20"/>
        </w:rPr>
        <w:t>n = 7 per group. BMI was 25.7 ± 2.8 kg/m² in controls (CNT) and 32.0 ± 5.3 kg/m² in women who subsequently developed preeclampsia (PE); point-biserial correlation between study group and BMI, r = 0.62. Sample concentrations are the mean of replicate wells.</w:t>
      </w:r>
    </w:p>
    <w:p>
      <w:pPr>
        <w:spacing w:after="60" w:before="0"/>
        <w:jc w:val="both"/>
      </w:pPr>
      <w:r>
        <w:rPr>
          <w:b w:val="0"/>
          <w:i w:val="0"/>
          <w:sz w:val="20"/>
        </w:rPr>
        <w:t>A. Rank-based analysis of covariance (Conover–Iman approach): rank-transformed concentration was regressed on study group (unadjusted model) and on study group and rank-transformed BMI (BMI-adjusted model), using ordinary least squares. Group effect, difference in mean rank between PE and CNT (negative values indicate lower concentrations in PE). Change in group effect, percentage change of the group coefficient after adjustment for BMI (positive values indicate a larger group effect after adjustment). p values are not adjusted for multiple testing; the BMI-adjusted model was used to assess the direction and magnitude of potential confounding and not as a primary test of between-group differences. ρ, Spearman correlation coefficient between BMI and concentration. Across all 42 quantitatively eligible analytes, the group effect increased after BMI adjustment for 31 analytes; full results for all 42 analytes are provided in Additional file 1.</w:t>
      </w:r>
    </w:p>
    <w:p>
      <w:pPr>
        <w:spacing w:after="60" w:before="0"/>
        <w:jc w:val="both"/>
      </w:pPr>
      <w:r>
        <w:rPr>
          <w:b w:val="0"/>
          <w:i w:val="0"/>
          <w:sz w:val="20"/>
        </w:rPr>
        <w:t>B. Descriptive comparison only. The PE case with BMI 25.3 kg/m² had a history of systemic lupus erythematosus and antiphospholipid syndrome. n.d., not detected (concentration output of 0.00).</w:t>
      </w:r>
    </w:p>
    <w:p>
      <w:pPr>
        <w:spacing w:after="60" w:before="0"/>
        <w:jc w:val="both"/>
      </w:pPr>
      <w:r>
        <w:rPr>
          <w:b w:val="0"/>
          <w:i w:val="0"/>
          <w:sz w:val="20"/>
        </w:rPr>
        <w:t>ᵃ IL-20 was evaluated for detectability only (Fisher’s exact test); it is shown to indicate that non-detection in PE was not restricted to women with obesity.</w:t>
      </w:r>
    </w:p>
    <w:sectPr w:rsidR="00FC693F" w:rsidRPr="0006063C" w:rsidSect="00034616">
      <w:pgSz w:w="16838" w:h="11906" w:orient="landscape"/>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