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E4BBC8">
      <w:pPr>
        <w:pStyle w:val="2"/>
        <w:keepNext/>
        <w:pageBreakBefore w:val="0"/>
        <w:spacing w:after="120"/>
        <w:jc w:val="left"/>
      </w:pPr>
      <w:bookmarkStart w:id="0" w:name="_GoBack"/>
      <w:bookmarkEnd w:id="0"/>
      <w:r>
        <w:rPr>
          <w:rFonts w:ascii="Times New Roman" w:hAnsi="Times New Roman" w:eastAsia="Times New Roman" w:cs="Times New Roman"/>
          <w:b/>
          <w:color w:val="000000"/>
          <w:sz w:val="21"/>
        </w:rPr>
        <w:t>Supplementary Table S1. Adjusted associations of maternal biomarkers with SGA per standard-deviation increase</w:t>
      </w:r>
    </w:p>
    <w:tbl>
      <w:tblPr>
        <w:tblStyle w:val="3"/>
        <w:tblW w:w="0" w:type="auto"/>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448"/>
        <w:gridCol w:w="1872"/>
        <w:gridCol w:w="3240"/>
        <w:gridCol w:w="1440"/>
      </w:tblGrid>
      <w:tr w14:paraId="026F79BA">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blHeader/>
          <w:jc w:val="center"/>
        </w:trPr>
        <w:tc>
          <w:tcPr>
            <w:tcW w:w="2448" w:type="dxa"/>
            <w:tcBorders>
              <w:bottom w:val="single" w:color="000000" w:sz="8" w:space="0"/>
            </w:tcBorders>
            <w:tcMar>
              <w:top w:w="70" w:type="dxa"/>
              <w:left w:w="65" w:type="dxa"/>
              <w:bottom w:w="70" w:type="dxa"/>
              <w:right w:w="65" w:type="dxa"/>
            </w:tcMar>
            <w:vAlign w:val="center"/>
          </w:tcPr>
          <w:p w14:paraId="6C23DAEA">
            <w:pPr>
              <w:keepNext/>
              <w:spacing w:before="0" w:after="0" w:line="240" w:lineRule="auto"/>
              <w:jc w:val="center"/>
            </w:pPr>
            <w:r>
              <w:rPr>
                <w:rFonts w:ascii="Times New Roman" w:hAnsi="Times New Roman" w:eastAsia="Times New Roman" w:cs="Times New Roman"/>
                <w:b/>
                <w:color w:val="000000"/>
                <w:sz w:val="18"/>
              </w:rPr>
              <w:t>Biomarker</w:t>
            </w:r>
          </w:p>
        </w:tc>
        <w:tc>
          <w:tcPr>
            <w:tcW w:w="1872" w:type="dxa"/>
            <w:tcBorders>
              <w:bottom w:val="single" w:color="000000" w:sz="8" w:space="0"/>
            </w:tcBorders>
            <w:tcMar>
              <w:top w:w="70" w:type="dxa"/>
              <w:left w:w="65" w:type="dxa"/>
              <w:bottom w:w="70" w:type="dxa"/>
              <w:right w:w="65" w:type="dxa"/>
            </w:tcMar>
            <w:vAlign w:val="center"/>
          </w:tcPr>
          <w:p w14:paraId="1F056F01">
            <w:pPr>
              <w:keepNext/>
              <w:spacing w:before="0" w:after="0" w:line="240" w:lineRule="auto"/>
              <w:jc w:val="center"/>
            </w:pPr>
            <w:r>
              <w:rPr>
                <w:rFonts w:ascii="Times New Roman" w:hAnsi="Times New Roman" w:eastAsia="Times New Roman" w:cs="Times New Roman"/>
                <w:b/>
                <w:color w:val="000000"/>
                <w:sz w:val="18"/>
              </w:rPr>
              <w:t>SD in original units</w:t>
            </w:r>
          </w:p>
        </w:tc>
        <w:tc>
          <w:tcPr>
            <w:tcW w:w="3240" w:type="dxa"/>
            <w:tcBorders>
              <w:bottom w:val="single" w:color="000000" w:sz="8" w:space="0"/>
            </w:tcBorders>
            <w:tcMar>
              <w:top w:w="70" w:type="dxa"/>
              <w:left w:w="65" w:type="dxa"/>
              <w:bottom w:w="70" w:type="dxa"/>
              <w:right w:w="65" w:type="dxa"/>
            </w:tcMar>
            <w:vAlign w:val="center"/>
          </w:tcPr>
          <w:p w14:paraId="718A4FD7">
            <w:pPr>
              <w:keepNext/>
              <w:spacing w:before="0" w:after="0" w:line="240" w:lineRule="auto"/>
              <w:jc w:val="center"/>
            </w:pPr>
            <w:r>
              <w:rPr>
                <w:rFonts w:ascii="Times New Roman" w:hAnsi="Times New Roman" w:eastAsia="Times New Roman" w:cs="Times New Roman"/>
                <w:b/>
                <w:color w:val="000000"/>
                <w:sz w:val="18"/>
              </w:rPr>
              <w:t>aRR per 1-SD increase (95% CI)</w:t>
            </w:r>
          </w:p>
        </w:tc>
        <w:tc>
          <w:tcPr>
            <w:tcW w:w="1440" w:type="dxa"/>
            <w:tcBorders>
              <w:bottom w:val="single" w:color="000000" w:sz="8" w:space="0"/>
            </w:tcBorders>
            <w:tcMar>
              <w:top w:w="70" w:type="dxa"/>
              <w:left w:w="65" w:type="dxa"/>
              <w:bottom w:w="70" w:type="dxa"/>
              <w:right w:w="65" w:type="dxa"/>
            </w:tcMar>
            <w:vAlign w:val="center"/>
          </w:tcPr>
          <w:p w14:paraId="0CEE62FA">
            <w:pPr>
              <w:keepNext/>
              <w:spacing w:before="0" w:after="0" w:line="240" w:lineRule="auto"/>
              <w:jc w:val="center"/>
            </w:pPr>
            <w:r>
              <w:rPr>
                <w:rFonts w:ascii="Times New Roman" w:hAnsi="Times New Roman" w:eastAsia="Times New Roman" w:cs="Times New Roman"/>
                <w:b/>
                <w:color w:val="000000"/>
                <w:sz w:val="18"/>
              </w:rPr>
              <w:t>P value</w:t>
            </w:r>
          </w:p>
        </w:tc>
      </w:tr>
      <w:tr w14:paraId="4CDF15B4">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10B54E4D">
            <w:pPr>
              <w:keepNext/>
              <w:spacing w:before="0" w:after="0" w:line="240" w:lineRule="auto"/>
              <w:jc w:val="center"/>
            </w:pPr>
            <w:r>
              <w:rPr>
                <w:rFonts w:ascii="Times New Roman" w:hAnsi="Times New Roman" w:eastAsia="Times New Roman" w:cs="Times New Roman"/>
                <w:b w:val="0"/>
                <w:color w:val="000000"/>
                <w:sz w:val="18"/>
              </w:rPr>
              <w:t>Hcy, μmol/L</w:t>
            </w:r>
          </w:p>
        </w:tc>
        <w:tc>
          <w:tcPr>
            <w:tcW w:w="1872" w:type="dxa"/>
            <w:tcMar>
              <w:top w:w="70" w:type="dxa"/>
              <w:left w:w="65" w:type="dxa"/>
              <w:bottom w:w="70" w:type="dxa"/>
              <w:right w:w="65" w:type="dxa"/>
            </w:tcMar>
            <w:vAlign w:val="center"/>
          </w:tcPr>
          <w:p w14:paraId="6C3E6DE6">
            <w:pPr>
              <w:keepNext/>
              <w:spacing w:before="0" w:after="0" w:line="240" w:lineRule="auto"/>
              <w:jc w:val="center"/>
            </w:pPr>
            <w:r>
              <w:rPr>
                <w:rFonts w:ascii="Times New Roman" w:hAnsi="Times New Roman" w:eastAsia="Times New Roman" w:cs="Times New Roman"/>
                <w:b w:val="0"/>
                <w:color w:val="000000"/>
                <w:sz w:val="18"/>
              </w:rPr>
              <w:t>2.883</w:t>
            </w:r>
          </w:p>
        </w:tc>
        <w:tc>
          <w:tcPr>
            <w:tcW w:w="3240" w:type="dxa"/>
            <w:tcMar>
              <w:top w:w="70" w:type="dxa"/>
              <w:left w:w="65" w:type="dxa"/>
              <w:bottom w:w="70" w:type="dxa"/>
              <w:right w:w="65" w:type="dxa"/>
            </w:tcMar>
            <w:vAlign w:val="center"/>
          </w:tcPr>
          <w:p w14:paraId="20E7C7ED">
            <w:pPr>
              <w:keepNext/>
              <w:spacing w:before="0" w:after="0" w:line="240" w:lineRule="auto"/>
              <w:jc w:val="center"/>
            </w:pPr>
            <w:r>
              <w:rPr>
                <w:rFonts w:ascii="Times New Roman" w:hAnsi="Times New Roman" w:eastAsia="Times New Roman" w:cs="Times New Roman"/>
                <w:b w:val="0"/>
                <w:color w:val="000000"/>
                <w:sz w:val="18"/>
              </w:rPr>
              <w:t>1.39 (1.23–1.56)</w:t>
            </w:r>
          </w:p>
        </w:tc>
        <w:tc>
          <w:tcPr>
            <w:tcW w:w="1440" w:type="dxa"/>
            <w:tcMar>
              <w:top w:w="70" w:type="dxa"/>
              <w:left w:w="65" w:type="dxa"/>
              <w:bottom w:w="70" w:type="dxa"/>
              <w:right w:w="65" w:type="dxa"/>
            </w:tcMar>
            <w:vAlign w:val="center"/>
          </w:tcPr>
          <w:p w14:paraId="1A45072F">
            <w:pPr>
              <w:keepNext/>
              <w:spacing w:before="0" w:after="0" w:line="240" w:lineRule="auto"/>
              <w:jc w:val="center"/>
            </w:pPr>
            <w:r>
              <w:rPr>
                <w:rFonts w:ascii="Times New Roman" w:hAnsi="Times New Roman" w:eastAsia="Times New Roman" w:cs="Times New Roman"/>
                <w:b w:val="0"/>
                <w:color w:val="000000"/>
                <w:sz w:val="18"/>
              </w:rPr>
              <w:t>&lt;0.001</w:t>
            </w:r>
          </w:p>
        </w:tc>
      </w:tr>
      <w:tr w14:paraId="266467C7">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220C0BAA">
            <w:pPr>
              <w:keepNext/>
              <w:spacing w:before="0" w:after="0" w:line="240" w:lineRule="auto"/>
              <w:jc w:val="center"/>
            </w:pPr>
            <w:r>
              <w:rPr>
                <w:rFonts w:ascii="Times New Roman" w:hAnsi="Times New Roman" w:eastAsia="Times New Roman" w:cs="Times New Roman"/>
                <w:b w:val="0"/>
                <w:color w:val="000000"/>
                <w:sz w:val="18"/>
              </w:rPr>
              <w:t>TAT, ng/mL</w:t>
            </w:r>
          </w:p>
        </w:tc>
        <w:tc>
          <w:tcPr>
            <w:tcW w:w="1872" w:type="dxa"/>
            <w:tcMar>
              <w:top w:w="70" w:type="dxa"/>
              <w:left w:w="65" w:type="dxa"/>
              <w:bottom w:w="70" w:type="dxa"/>
              <w:right w:w="65" w:type="dxa"/>
            </w:tcMar>
            <w:vAlign w:val="center"/>
          </w:tcPr>
          <w:p w14:paraId="3B478A46">
            <w:pPr>
              <w:keepNext/>
              <w:spacing w:before="0" w:after="0" w:line="240" w:lineRule="auto"/>
              <w:jc w:val="center"/>
            </w:pPr>
            <w:r>
              <w:rPr>
                <w:rFonts w:ascii="Times New Roman" w:hAnsi="Times New Roman" w:eastAsia="Times New Roman" w:cs="Times New Roman"/>
                <w:b w:val="0"/>
                <w:color w:val="000000"/>
                <w:sz w:val="18"/>
              </w:rPr>
              <w:t>1.986</w:t>
            </w:r>
          </w:p>
        </w:tc>
        <w:tc>
          <w:tcPr>
            <w:tcW w:w="3240" w:type="dxa"/>
            <w:tcMar>
              <w:top w:w="70" w:type="dxa"/>
              <w:left w:w="65" w:type="dxa"/>
              <w:bottom w:w="70" w:type="dxa"/>
              <w:right w:w="65" w:type="dxa"/>
            </w:tcMar>
            <w:vAlign w:val="center"/>
          </w:tcPr>
          <w:p w14:paraId="48685E36">
            <w:pPr>
              <w:keepNext/>
              <w:spacing w:before="0" w:after="0" w:line="240" w:lineRule="auto"/>
              <w:jc w:val="center"/>
            </w:pPr>
            <w:r>
              <w:rPr>
                <w:rFonts w:ascii="Times New Roman" w:hAnsi="Times New Roman" w:eastAsia="Times New Roman" w:cs="Times New Roman"/>
                <w:b w:val="0"/>
                <w:color w:val="000000"/>
                <w:sz w:val="18"/>
              </w:rPr>
              <w:t>1.28 (1.15–1.42)</w:t>
            </w:r>
          </w:p>
        </w:tc>
        <w:tc>
          <w:tcPr>
            <w:tcW w:w="1440" w:type="dxa"/>
            <w:tcMar>
              <w:top w:w="70" w:type="dxa"/>
              <w:left w:w="65" w:type="dxa"/>
              <w:bottom w:w="70" w:type="dxa"/>
              <w:right w:w="65" w:type="dxa"/>
            </w:tcMar>
            <w:vAlign w:val="center"/>
          </w:tcPr>
          <w:p w14:paraId="3EC98F9F">
            <w:pPr>
              <w:keepNext/>
              <w:spacing w:before="0" w:after="0" w:line="240" w:lineRule="auto"/>
              <w:jc w:val="center"/>
            </w:pPr>
            <w:r>
              <w:rPr>
                <w:rFonts w:ascii="Times New Roman" w:hAnsi="Times New Roman" w:eastAsia="Times New Roman" w:cs="Times New Roman"/>
                <w:b w:val="0"/>
                <w:color w:val="000000"/>
                <w:sz w:val="18"/>
              </w:rPr>
              <w:t>&lt;0.001</w:t>
            </w:r>
          </w:p>
        </w:tc>
      </w:tr>
      <w:tr w14:paraId="4D8A9D9F">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0FD6D01A">
            <w:pPr>
              <w:keepNext/>
              <w:spacing w:before="0" w:after="0" w:line="240" w:lineRule="auto"/>
              <w:jc w:val="center"/>
            </w:pPr>
            <w:r>
              <w:rPr>
                <w:rFonts w:ascii="Times New Roman" w:hAnsi="Times New Roman" w:eastAsia="Times New Roman" w:cs="Times New Roman"/>
                <w:b w:val="0"/>
                <w:color w:val="000000"/>
                <w:sz w:val="18"/>
              </w:rPr>
              <w:t>TM, TU/mL</w:t>
            </w:r>
          </w:p>
        </w:tc>
        <w:tc>
          <w:tcPr>
            <w:tcW w:w="1872" w:type="dxa"/>
            <w:tcMar>
              <w:top w:w="70" w:type="dxa"/>
              <w:left w:w="65" w:type="dxa"/>
              <w:bottom w:w="70" w:type="dxa"/>
              <w:right w:w="65" w:type="dxa"/>
            </w:tcMar>
            <w:vAlign w:val="center"/>
          </w:tcPr>
          <w:p w14:paraId="3769F992">
            <w:pPr>
              <w:keepNext/>
              <w:spacing w:before="0" w:after="0" w:line="240" w:lineRule="auto"/>
              <w:jc w:val="center"/>
            </w:pPr>
            <w:r>
              <w:rPr>
                <w:rFonts w:ascii="Times New Roman" w:hAnsi="Times New Roman" w:eastAsia="Times New Roman" w:cs="Times New Roman"/>
                <w:b w:val="0"/>
                <w:color w:val="000000"/>
                <w:sz w:val="18"/>
              </w:rPr>
              <w:t>3.402</w:t>
            </w:r>
          </w:p>
        </w:tc>
        <w:tc>
          <w:tcPr>
            <w:tcW w:w="3240" w:type="dxa"/>
            <w:tcMar>
              <w:top w:w="70" w:type="dxa"/>
              <w:left w:w="65" w:type="dxa"/>
              <w:bottom w:w="70" w:type="dxa"/>
              <w:right w:w="65" w:type="dxa"/>
            </w:tcMar>
            <w:vAlign w:val="center"/>
          </w:tcPr>
          <w:p w14:paraId="6CBBB2C9">
            <w:pPr>
              <w:keepNext/>
              <w:spacing w:before="0" w:after="0" w:line="240" w:lineRule="auto"/>
              <w:jc w:val="center"/>
            </w:pPr>
            <w:r>
              <w:rPr>
                <w:rFonts w:ascii="Times New Roman" w:hAnsi="Times New Roman" w:eastAsia="Times New Roman" w:cs="Times New Roman"/>
                <w:b w:val="0"/>
                <w:color w:val="000000"/>
                <w:sz w:val="18"/>
              </w:rPr>
              <w:t>1.26 (1.13–1.41)</w:t>
            </w:r>
          </w:p>
        </w:tc>
        <w:tc>
          <w:tcPr>
            <w:tcW w:w="1440" w:type="dxa"/>
            <w:tcMar>
              <w:top w:w="70" w:type="dxa"/>
              <w:left w:w="65" w:type="dxa"/>
              <w:bottom w:w="70" w:type="dxa"/>
              <w:right w:w="65" w:type="dxa"/>
            </w:tcMar>
            <w:vAlign w:val="center"/>
          </w:tcPr>
          <w:p w14:paraId="530577EA">
            <w:pPr>
              <w:keepNext/>
              <w:spacing w:before="0" w:after="0" w:line="240" w:lineRule="auto"/>
              <w:jc w:val="center"/>
            </w:pPr>
            <w:r>
              <w:rPr>
                <w:rFonts w:ascii="Times New Roman" w:hAnsi="Times New Roman" w:eastAsia="Times New Roman" w:cs="Times New Roman"/>
                <w:b w:val="0"/>
                <w:color w:val="000000"/>
                <w:sz w:val="18"/>
              </w:rPr>
              <w:t>&lt;0.001</w:t>
            </w:r>
          </w:p>
        </w:tc>
      </w:tr>
      <w:tr w14:paraId="0697D1BF">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4570A461">
            <w:pPr>
              <w:keepNext/>
              <w:spacing w:before="0" w:after="0" w:line="240" w:lineRule="auto"/>
              <w:jc w:val="center"/>
            </w:pPr>
            <w:r>
              <w:rPr>
                <w:rFonts w:ascii="Times New Roman" w:hAnsi="Times New Roman" w:eastAsia="Times New Roman" w:cs="Times New Roman"/>
                <w:b w:val="0"/>
                <w:color w:val="000000"/>
                <w:sz w:val="18"/>
              </w:rPr>
              <w:t>PIC, μg/mL</w:t>
            </w:r>
          </w:p>
        </w:tc>
        <w:tc>
          <w:tcPr>
            <w:tcW w:w="1872" w:type="dxa"/>
            <w:tcMar>
              <w:top w:w="70" w:type="dxa"/>
              <w:left w:w="65" w:type="dxa"/>
              <w:bottom w:w="70" w:type="dxa"/>
              <w:right w:w="65" w:type="dxa"/>
            </w:tcMar>
            <w:vAlign w:val="center"/>
          </w:tcPr>
          <w:p w14:paraId="50FCAD3F">
            <w:pPr>
              <w:keepNext/>
              <w:spacing w:before="0" w:after="0" w:line="240" w:lineRule="auto"/>
              <w:jc w:val="center"/>
            </w:pPr>
            <w:r>
              <w:rPr>
                <w:rFonts w:ascii="Times New Roman" w:hAnsi="Times New Roman" w:eastAsia="Times New Roman" w:cs="Times New Roman"/>
                <w:b w:val="0"/>
                <w:color w:val="000000"/>
                <w:sz w:val="18"/>
              </w:rPr>
              <w:t>0.166</w:t>
            </w:r>
          </w:p>
        </w:tc>
        <w:tc>
          <w:tcPr>
            <w:tcW w:w="3240" w:type="dxa"/>
            <w:tcMar>
              <w:top w:w="70" w:type="dxa"/>
              <w:left w:w="65" w:type="dxa"/>
              <w:bottom w:w="70" w:type="dxa"/>
              <w:right w:w="65" w:type="dxa"/>
            </w:tcMar>
            <w:vAlign w:val="center"/>
          </w:tcPr>
          <w:p w14:paraId="37551A37">
            <w:pPr>
              <w:keepNext/>
              <w:spacing w:before="0" w:after="0" w:line="240" w:lineRule="auto"/>
              <w:jc w:val="center"/>
            </w:pPr>
            <w:r>
              <w:rPr>
                <w:rFonts w:ascii="Times New Roman" w:hAnsi="Times New Roman" w:eastAsia="Times New Roman" w:cs="Times New Roman"/>
                <w:b w:val="0"/>
                <w:color w:val="000000"/>
                <w:sz w:val="18"/>
              </w:rPr>
              <w:t>1.11 (0.98–1.26)</w:t>
            </w:r>
          </w:p>
        </w:tc>
        <w:tc>
          <w:tcPr>
            <w:tcW w:w="1440" w:type="dxa"/>
            <w:tcMar>
              <w:top w:w="70" w:type="dxa"/>
              <w:left w:w="65" w:type="dxa"/>
              <w:bottom w:w="70" w:type="dxa"/>
              <w:right w:w="65" w:type="dxa"/>
            </w:tcMar>
            <w:vAlign w:val="center"/>
          </w:tcPr>
          <w:p w14:paraId="06F6817E">
            <w:pPr>
              <w:keepNext/>
              <w:spacing w:before="0" w:after="0" w:line="240" w:lineRule="auto"/>
              <w:jc w:val="center"/>
            </w:pPr>
            <w:r>
              <w:rPr>
                <w:rFonts w:ascii="Times New Roman" w:hAnsi="Times New Roman" w:eastAsia="Times New Roman" w:cs="Times New Roman"/>
                <w:b w:val="0"/>
                <w:color w:val="000000"/>
                <w:sz w:val="18"/>
              </w:rPr>
              <w:t>0.104</w:t>
            </w:r>
          </w:p>
        </w:tc>
      </w:tr>
      <w:tr w14:paraId="54EE4219">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735A38CD">
            <w:pPr>
              <w:keepNext/>
              <w:spacing w:before="0" w:after="0" w:line="240" w:lineRule="auto"/>
              <w:jc w:val="center"/>
            </w:pPr>
            <w:r>
              <w:rPr>
                <w:rFonts w:ascii="Times New Roman" w:hAnsi="Times New Roman" w:eastAsia="Times New Roman" w:cs="Times New Roman"/>
                <w:b w:val="0"/>
                <w:color w:val="000000"/>
                <w:sz w:val="18"/>
              </w:rPr>
              <w:t>tPAI-C, ng/mL</w:t>
            </w:r>
          </w:p>
        </w:tc>
        <w:tc>
          <w:tcPr>
            <w:tcW w:w="1872" w:type="dxa"/>
            <w:tcMar>
              <w:top w:w="70" w:type="dxa"/>
              <w:left w:w="65" w:type="dxa"/>
              <w:bottom w:w="70" w:type="dxa"/>
              <w:right w:w="65" w:type="dxa"/>
            </w:tcMar>
            <w:vAlign w:val="center"/>
          </w:tcPr>
          <w:p w14:paraId="0EFA5C6D">
            <w:pPr>
              <w:keepNext/>
              <w:spacing w:before="0" w:after="0" w:line="240" w:lineRule="auto"/>
              <w:jc w:val="center"/>
            </w:pPr>
            <w:r>
              <w:rPr>
                <w:rFonts w:ascii="Times New Roman" w:hAnsi="Times New Roman" w:eastAsia="Times New Roman" w:cs="Times New Roman"/>
                <w:b w:val="0"/>
                <w:color w:val="000000"/>
                <w:sz w:val="18"/>
              </w:rPr>
              <w:t>3.685</w:t>
            </w:r>
          </w:p>
        </w:tc>
        <w:tc>
          <w:tcPr>
            <w:tcW w:w="3240" w:type="dxa"/>
            <w:tcMar>
              <w:top w:w="70" w:type="dxa"/>
              <w:left w:w="65" w:type="dxa"/>
              <w:bottom w:w="70" w:type="dxa"/>
              <w:right w:w="65" w:type="dxa"/>
            </w:tcMar>
            <w:vAlign w:val="center"/>
          </w:tcPr>
          <w:p w14:paraId="50B36592">
            <w:pPr>
              <w:keepNext/>
              <w:spacing w:before="0" w:after="0" w:line="240" w:lineRule="auto"/>
              <w:jc w:val="center"/>
            </w:pPr>
            <w:r>
              <w:rPr>
                <w:rFonts w:ascii="Times New Roman" w:hAnsi="Times New Roman" w:eastAsia="Times New Roman" w:cs="Times New Roman"/>
                <w:b w:val="0"/>
                <w:color w:val="000000"/>
                <w:sz w:val="18"/>
              </w:rPr>
              <w:t>1.28 (1.15–1.43)</w:t>
            </w:r>
          </w:p>
        </w:tc>
        <w:tc>
          <w:tcPr>
            <w:tcW w:w="1440" w:type="dxa"/>
            <w:tcMar>
              <w:top w:w="70" w:type="dxa"/>
              <w:left w:w="65" w:type="dxa"/>
              <w:bottom w:w="70" w:type="dxa"/>
              <w:right w:w="65" w:type="dxa"/>
            </w:tcMar>
            <w:vAlign w:val="center"/>
          </w:tcPr>
          <w:p w14:paraId="7DBF76BE">
            <w:pPr>
              <w:keepNext/>
              <w:spacing w:before="0" w:after="0" w:line="240" w:lineRule="auto"/>
              <w:jc w:val="center"/>
            </w:pPr>
            <w:r>
              <w:rPr>
                <w:rFonts w:ascii="Times New Roman" w:hAnsi="Times New Roman" w:eastAsia="Times New Roman" w:cs="Times New Roman"/>
                <w:b w:val="0"/>
                <w:color w:val="000000"/>
                <w:sz w:val="18"/>
              </w:rPr>
              <w:t>&lt;0.001</w:t>
            </w:r>
          </w:p>
        </w:tc>
      </w:tr>
      <w:tr w14:paraId="2275EC33">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60E9597A">
            <w:pPr>
              <w:keepNext w:val="0"/>
              <w:spacing w:before="0" w:after="0" w:line="240" w:lineRule="auto"/>
              <w:jc w:val="center"/>
            </w:pPr>
            <w:r>
              <w:rPr>
                <w:rFonts w:ascii="Times New Roman" w:hAnsi="Times New Roman" w:eastAsia="Times New Roman" w:cs="Times New Roman"/>
                <w:b w:val="0"/>
                <w:color w:val="000000"/>
                <w:sz w:val="18"/>
              </w:rPr>
              <w:t>TAT/PIC ratio</w:t>
            </w:r>
          </w:p>
        </w:tc>
        <w:tc>
          <w:tcPr>
            <w:tcW w:w="1872" w:type="dxa"/>
            <w:tcMar>
              <w:top w:w="70" w:type="dxa"/>
              <w:left w:w="65" w:type="dxa"/>
              <w:bottom w:w="70" w:type="dxa"/>
              <w:right w:w="65" w:type="dxa"/>
            </w:tcMar>
            <w:vAlign w:val="center"/>
          </w:tcPr>
          <w:p w14:paraId="47641338">
            <w:pPr>
              <w:keepNext w:val="0"/>
              <w:spacing w:before="0" w:after="0" w:line="240" w:lineRule="auto"/>
              <w:jc w:val="center"/>
            </w:pPr>
            <w:r>
              <w:rPr>
                <w:rFonts w:ascii="Times New Roman" w:hAnsi="Times New Roman" w:eastAsia="Times New Roman" w:cs="Times New Roman"/>
                <w:b w:val="0"/>
                <w:color w:val="000000"/>
                <w:sz w:val="18"/>
              </w:rPr>
              <w:t>2.571</w:t>
            </w:r>
          </w:p>
        </w:tc>
        <w:tc>
          <w:tcPr>
            <w:tcW w:w="3240" w:type="dxa"/>
            <w:tcMar>
              <w:top w:w="70" w:type="dxa"/>
              <w:left w:w="65" w:type="dxa"/>
              <w:bottom w:w="70" w:type="dxa"/>
              <w:right w:w="65" w:type="dxa"/>
            </w:tcMar>
            <w:vAlign w:val="center"/>
          </w:tcPr>
          <w:p w14:paraId="0813C99B">
            <w:pPr>
              <w:keepNext w:val="0"/>
              <w:spacing w:before="0" w:after="0" w:line="240" w:lineRule="auto"/>
              <w:jc w:val="center"/>
            </w:pPr>
            <w:r>
              <w:rPr>
                <w:rFonts w:ascii="Times New Roman" w:hAnsi="Times New Roman" w:eastAsia="Times New Roman" w:cs="Times New Roman"/>
                <w:b w:val="0"/>
                <w:color w:val="000000"/>
                <w:sz w:val="18"/>
              </w:rPr>
              <w:t>1.21 (1.10–1.33)</w:t>
            </w:r>
          </w:p>
        </w:tc>
        <w:tc>
          <w:tcPr>
            <w:tcW w:w="1440" w:type="dxa"/>
            <w:tcMar>
              <w:top w:w="70" w:type="dxa"/>
              <w:left w:w="65" w:type="dxa"/>
              <w:bottom w:w="70" w:type="dxa"/>
              <w:right w:w="65" w:type="dxa"/>
            </w:tcMar>
            <w:vAlign w:val="center"/>
          </w:tcPr>
          <w:p w14:paraId="7D1275B7">
            <w:pPr>
              <w:keepNext w:val="0"/>
              <w:spacing w:before="0" w:after="0" w:line="240" w:lineRule="auto"/>
              <w:jc w:val="center"/>
            </w:pPr>
            <w:r>
              <w:rPr>
                <w:rFonts w:ascii="Times New Roman" w:hAnsi="Times New Roman" w:eastAsia="Times New Roman" w:cs="Times New Roman"/>
                <w:b w:val="0"/>
                <w:color w:val="000000"/>
                <w:sz w:val="18"/>
              </w:rPr>
              <w:t>&lt;0.001</w:t>
            </w:r>
          </w:p>
        </w:tc>
      </w:tr>
    </w:tbl>
    <w:p w14:paraId="4049DDD2">
      <w:pPr>
        <w:widowControl/>
        <w:spacing w:before="120" w:after="0" w:line="300" w:lineRule="auto"/>
        <w:jc w:val="both"/>
      </w:pPr>
      <w:r>
        <w:rPr>
          <w:rFonts w:ascii="Times New Roman" w:hAnsi="Times New Roman" w:eastAsia="Times New Roman" w:cs="Times New Roman"/>
          <w:b w:val="0"/>
          <w:color w:val="000000"/>
          <w:sz w:val="18"/>
        </w:rPr>
        <w:t xml:space="preserve">Note: Analyses included 760 women, of whom 167 delivered SGA infants. Each biomarker was evaluated in a separate modified Poisson regression model with robust standard errors. Models were adjusted for maternal age, </w:t>
      </w:r>
      <w:r>
        <w:rPr>
          <w:rFonts w:hint="eastAsia" w:eastAsia="宋体" w:cs="Times New Roman"/>
          <w:b w:val="0"/>
          <w:color w:val="000000"/>
          <w:sz w:val="18"/>
          <w:lang w:eastAsia="zh-CN"/>
        </w:rPr>
        <w:t>pre-pregnancy</w:t>
      </w:r>
      <w:r>
        <w:rPr>
          <w:rFonts w:ascii="Times New Roman" w:hAnsi="Times New Roman" w:eastAsia="Times New Roman" w:cs="Times New Roman"/>
          <w:b w:val="0"/>
          <w:color w:val="000000"/>
          <w:sz w:val="18"/>
        </w:rPr>
        <w:t xml:space="preserve"> BMI, nulliparity, gestational age at biomarker sampling, HbA1c, serum creatinine, folate supplementation, aspirin or anticoagulant use before sampling, and gestational age at PE diagnosis. SDs were calculated in the full cohort and are presented to three decimal places; unrounded values were used in the analyses. The TAT/PIC ratio was calculated by dividing TAT in ng/mL by PIC in μg/mL. aRR, adjusted risk ratio; CI, confidence interval; SD, standard deviation; SGA, small for gestational age.</w:t>
      </w:r>
    </w:p>
    <w:p w14:paraId="5189B278">
      <w:pPr>
        <w:pStyle w:val="2"/>
        <w:keepNext/>
        <w:pageBreakBefore/>
        <w:spacing w:after="120"/>
        <w:jc w:val="left"/>
      </w:pPr>
      <w:r>
        <w:rPr>
          <w:rFonts w:ascii="Times New Roman" w:hAnsi="Times New Roman" w:eastAsia="Times New Roman" w:cs="Times New Roman"/>
          <w:b/>
          <w:color w:val="000000"/>
          <w:sz w:val="21"/>
        </w:rPr>
        <w:t>Supplementary Table S2. Sensitivity analysis restricted to women delivering more than 7 days after biomarker sampling and without FGR before sampling</w:t>
      </w:r>
    </w:p>
    <w:tbl>
      <w:tblPr>
        <w:tblStyle w:val="3"/>
        <w:tblW w:w="0" w:type="auto"/>
        <w:jc w:val="center"/>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Layout w:type="fixed"/>
        <w:tblCellMar>
          <w:top w:w="0" w:type="dxa"/>
          <w:left w:w="108" w:type="dxa"/>
          <w:bottom w:w="0" w:type="dxa"/>
          <w:right w:w="108" w:type="dxa"/>
        </w:tblCellMar>
      </w:tblPr>
      <w:tblGrid>
        <w:gridCol w:w="2448"/>
        <w:gridCol w:w="1872"/>
        <w:gridCol w:w="3240"/>
        <w:gridCol w:w="1440"/>
      </w:tblGrid>
      <w:tr w14:paraId="4758E031">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tblHeader/>
          <w:jc w:val="center"/>
        </w:trPr>
        <w:tc>
          <w:tcPr>
            <w:tcW w:w="2448" w:type="dxa"/>
            <w:tcBorders>
              <w:bottom w:val="single" w:color="000000" w:sz="8" w:space="0"/>
            </w:tcBorders>
            <w:tcMar>
              <w:top w:w="70" w:type="dxa"/>
              <w:left w:w="65" w:type="dxa"/>
              <w:bottom w:w="70" w:type="dxa"/>
              <w:right w:w="65" w:type="dxa"/>
            </w:tcMar>
            <w:vAlign w:val="center"/>
          </w:tcPr>
          <w:p w14:paraId="6A227B9F">
            <w:pPr>
              <w:keepNext/>
              <w:spacing w:before="0" w:after="0" w:line="240" w:lineRule="auto"/>
              <w:jc w:val="center"/>
            </w:pPr>
            <w:r>
              <w:rPr>
                <w:rFonts w:ascii="Times New Roman" w:hAnsi="Times New Roman" w:eastAsia="Times New Roman" w:cs="Times New Roman"/>
                <w:b/>
                <w:color w:val="000000"/>
                <w:sz w:val="18"/>
              </w:rPr>
              <w:t>Biomarker</w:t>
            </w:r>
          </w:p>
        </w:tc>
        <w:tc>
          <w:tcPr>
            <w:tcW w:w="1872" w:type="dxa"/>
            <w:tcBorders>
              <w:bottom w:val="single" w:color="000000" w:sz="8" w:space="0"/>
            </w:tcBorders>
            <w:tcMar>
              <w:top w:w="70" w:type="dxa"/>
              <w:left w:w="65" w:type="dxa"/>
              <w:bottom w:w="70" w:type="dxa"/>
              <w:right w:w="65" w:type="dxa"/>
            </w:tcMar>
            <w:vAlign w:val="center"/>
          </w:tcPr>
          <w:p w14:paraId="12540C46">
            <w:pPr>
              <w:keepNext/>
              <w:spacing w:before="0" w:after="0" w:line="240" w:lineRule="auto"/>
              <w:jc w:val="center"/>
            </w:pPr>
            <w:r>
              <w:rPr>
                <w:rFonts w:ascii="Times New Roman" w:hAnsi="Times New Roman" w:eastAsia="Times New Roman" w:cs="Times New Roman"/>
                <w:b/>
                <w:color w:val="000000"/>
                <w:sz w:val="18"/>
              </w:rPr>
              <w:t>Increment</w:t>
            </w:r>
          </w:p>
        </w:tc>
        <w:tc>
          <w:tcPr>
            <w:tcW w:w="3240" w:type="dxa"/>
            <w:tcBorders>
              <w:bottom w:val="single" w:color="000000" w:sz="8" w:space="0"/>
            </w:tcBorders>
            <w:tcMar>
              <w:top w:w="70" w:type="dxa"/>
              <w:left w:w="65" w:type="dxa"/>
              <w:bottom w:w="70" w:type="dxa"/>
              <w:right w:w="65" w:type="dxa"/>
            </w:tcMar>
            <w:vAlign w:val="center"/>
          </w:tcPr>
          <w:p w14:paraId="1CFE40D2">
            <w:pPr>
              <w:keepNext/>
              <w:spacing w:before="0" w:after="0" w:line="240" w:lineRule="auto"/>
              <w:jc w:val="center"/>
            </w:pPr>
            <w:r>
              <w:rPr>
                <w:rFonts w:ascii="Times New Roman" w:hAnsi="Times New Roman" w:eastAsia="Times New Roman" w:cs="Times New Roman"/>
                <w:b/>
                <w:color w:val="000000"/>
                <w:sz w:val="18"/>
              </w:rPr>
              <w:t>aRR (95% CI)</w:t>
            </w:r>
          </w:p>
        </w:tc>
        <w:tc>
          <w:tcPr>
            <w:tcW w:w="1440" w:type="dxa"/>
            <w:tcBorders>
              <w:bottom w:val="single" w:color="000000" w:sz="8" w:space="0"/>
            </w:tcBorders>
            <w:tcMar>
              <w:top w:w="70" w:type="dxa"/>
              <w:left w:w="65" w:type="dxa"/>
              <w:bottom w:w="70" w:type="dxa"/>
              <w:right w:w="65" w:type="dxa"/>
            </w:tcMar>
            <w:vAlign w:val="center"/>
          </w:tcPr>
          <w:p w14:paraId="0665877C">
            <w:pPr>
              <w:keepNext/>
              <w:spacing w:before="0" w:after="0" w:line="240" w:lineRule="auto"/>
              <w:jc w:val="center"/>
            </w:pPr>
            <w:r>
              <w:rPr>
                <w:rFonts w:ascii="Times New Roman" w:hAnsi="Times New Roman" w:eastAsia="Times New Roman" w:cs="Times New Roman"/>
                <w:b/>
                <w:color w:val="000000"/>
                <w:sz w:val="18"/>
              </w:rPr>
              <w:t>P value</w:t>
            </w:r>
          </w:p>
        </w:tc>
      </w:tr>
      <w:tr w14:paraId="0A422E13">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30DF9EFB">
            <w:pPr>
              <w:keepNext/>
              <w:spacing w:before="0" w:after="0" w:line="240" w:lineRule="auto"/>
              <w:jc w:val="center"/>
            </w:pPr>
            <w:r>
              <w:rPr>
                <w:rFonts w:ascii="Times New Roman" w:hAnsi="Times New Roman" w:eastAsia="Times New Roman" w:cs="Times New Roman"/>
                <w:b w:val="0"/>
                <w:color w:val="000000"/>
                <w:sz w:val="18"/>
              </w:rPr>
              <w:t>Hcy</w:t>
            </w:r>
          </w:p>
        </w:tc>
        <w:tc>
          <w:tcPr>
            <w:tcW w:w="1872" w:type="dxa"/>
            <w:tcMar>
              <w:top w:w="70" w:type="dxa"/>
              <w:left w:w="65" w:type="dxa"/>
              <w:bottom w:w="70" w:type="dxa"/>
              <w:right w:w="65" w:type="dxa"/>
            </w:tcMar>
            <w:vAlign w:val="center"/>
          </w:tcPr>
          <w:p w14:paraId="55DCDA1A">
            <w:pPr>
              <w:keepNext/>
              <w:spacing w:before="0" w:after="0" w:line="240" w:lineRule="auto"/>
              <w:jc w:val="center"/>
            </w:pPr>
            <w:r>
              <w:rPr>
                <w:rFonts w:ascii="Times New Roman" w:hAnsi="Times New Roman" w:eastAsia="Times New Roman" w:cs="Times New Roman"/>
                <w:b w:val="0"/>
                <w:color w:val="000000"/>
                <w:sz w:val="18"/>
              </w:rPr>
              <w:t>1 μmol/L</w:t>
            </w:r>
          </w:p>
        </w:tc>
        <w:tc>
          <w:tcPr>
            <w:tcW w:w="3240" w:type="dxa"/>
            <w:tcMar>
              <w:top w:w="70" w:type="dxa"/>
              <w:left w:w="65" w:type="dxa"/>
              <w:bottom w:w="70" w:type="dxa"/>
              <w:right w:w="65" w:type="dxa"/>
            </w:tcMar>
            <w:vAlign w:val="center"/>
          </w:tcPr>
          <w:p w14:paraId="074685F0">
            <w:pPr>
              <w:keepNext/>
              <w:spacing w:before="0" w:after="0" w:line="240" w:lineRule="auto"/>
              <w:jc w:val="center"/>
            </w:pPr>
            <w:r>
              <w:rPr>
                <w:rFonts w:ascii="Times New Roman" w:hAnsi="Times New Roman" w:eastAsia="Times New Roman" w:cs="Times New Roman"/>
                <w:b w:val="0"/>
                <w:color w:val="000000"/>
                <w:sz w:val="18"/>
              </w:rPr>
              <w:t>1.16 (1.08–1.24)</w:t>
            </w:r>
          </w:p>
        </w:tc>
        <w:tc>
          <w:tcPr>
            <w:tcW w:w="1440" w:type="dxa"/>
            <w:tcMar>
              <w:top w:w="70" w:type="dxa"/>
              <w:left w:w="65" w:type="dxa"/>
              <w:bottom w:w="70" w:type="dxa"/>
              <w:right w:w="65" w:type="dxa"/>
            </w:tcMar>
            <w:vAlign w:val="center"/>
          </w:tcPr>
          <w:p w14:paraId="5DFC4845">
            <w:pPr>
              <w:keepNext/>
              <w:spacing w:before="0" w:after="0" w:line="240" w:lineRule="auto"/>
              <w:jc w:val="center"/>
            </w:pPr>
            <w:r>
              <w:rPr>
                <w:rFonts w:ascii="Times New Roman" w:hAnsi="Times New Roman" w:eastAsia="Times New Roman" w:cs="Times New Roman"/>
                <w:b w:val="0"/>
                <w:color w:val="000000"/>
                <w:sz w:val="18"/>
              </w:rPr>
              <w:t>&lt;0.001</w:t>
            </w:r>
          </w:p>
        </w:tc>
      </w:tr>
      <w:tr w14:paraId="0D7C48C5">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0CEF0F1E">
            <w:pPr>
              <w:keepNext/>
              <w:spacing w:before="0" w:after="0" w:line="240" w:lineRule="auto"/>
              <w:jc w:val="center"/>
            </w:pPr>
            <w:r>
              <w:rPr>
                <w:rFonts w:ascii="Times New Roman" w:hAnsi="Times New Roman" w:eastAsia="Times New Roman" w:cs="Times New Roman"/>
                <w:b w:val="0"/>
                <w:color w:val="000000"/>
                <w:sz w:val="18"/>
              </w:rPr>
              <w:t>TAT</w:t>
            </w:r>
          </w:p>
        </w:tc>
        <w:tc>
          <w:tcPr>
            <w:tcW w:w="1872" w:type="dxa"/>
            <w:tcMar>
              <w:top w:w="70" w:type="dxa"/>
              <w:left w:w="65" w:type="dxa"/>
              <w:bottom w:w="70" w:type="dxa"/>
              <w:right w:w="65" w:type="dxa"/>
            </w:tcMar>
            <w:vAlign w:val="center"/>
          </w:tcPr>
          <w:p w14:paraId="3D5751AC">
            <w:pPr>
              <w:keepNext/>
              <w:spacing w:before="0" w:after="0" w:line="240" w:lineRule="auto"/>
              <w:jc w:val="center"/>
            </w:pPr>
            <w:r>
              <w:rPr>
                <w:rFonts w:ascii="Times New Roman" w:hAnsi="Times New Roman" w:eastAsia="Times New Roman" w:cs="Times New Roman"/>
                <w:b w:val="0"/>
                <w:color w:val="000000"/>
                <w:sz w:val="18"/>
              </w:rPr>
              <w:t>1 ng/mL</w:t>
            </w:r>
          </w:p>
        </w:tc>
        <w:tc>
          <w:tcPr>
            <w:tcW w:w="3240" w:type="dxa"/>
            <w:tcMar>
              <w:top w:w="70" w:type="dxa"/>
              <w:left w:w="65" w:type="dxa"/>
              <w:bottom w:w="70" w:type="dxa"/>
              <w:right w:w="65" w:type="dxa"/>
            </w:tcMar>
            <w:vAlign w:val="center"/>
          </w:tcPr>
          <w:p w14:paraId="4D2F95DC">
            <w:pPr>
              <w:keepNext/>
              <w:spacing w:before="0" w:after="0" w:line="240" w:lineRule="auto"/>
              <w:jc w:val="center"/>
            </w:pPr>
            <w:r>
              <w:rPr>
                <w:rFonts w:ascii="Times New Roman" w:hAnsi="Times New Roman" w:eastAsia="Times New Roman" w:cs="Times New Roman"/>
                <w:b w:val="0"/>
                <w:color w:val="000000"/>
                <w:sz w:val="18"/>
              </w:rPr>
              <w:t>1.12 (1.03–1.21)</w:t>
            </w:r>
          </w:p>
        </w:tc>
        <w:tc>
          <w:tcPr>
            <w:tcW w:w="1440" w:type="dxa"/>
            <w:tcMar>
              <w:top w:w="70" w:type="dxa"/>
              <w:left w:w="65" w:type="dxa"/>
              <w:bottom w:w="70" w:type="dxa"/>
              <w:right w:w="65" w:type="dxa"/>
            </w:tcMar>
            <w:vAlign w:val="center"/>
          </w:tcPr>
          <w:p w14:paraId="372DFCE7">
            <w:pPr>
              <w:keepNext/>
              <w:spacing w:before="0" w:after="0" w:line="240" w:lineRule="auto"/>
              <w:jc w:val="center"/>
            </w:pPr>
            <w:r>
              <w:rPr>
                <w:rFonts w:ascii="Times New Roman" w:hAnsi="Times New Roman" w:eastAsia="Times New Roman" w:cs="Times New Roman"/>
                <w:b w:val="0"/>
                <w:color w:val="000000"/>
                <w:sz w:val="18"/>
              </w:rPr>
              <w:t>0.005</w:t>
            </w:r>
          </w:p>
        </w:tc>
      </w:tr>
      <w:tr w14:paraId="1D27ECBF">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2136001F">
            <w:pPr>
              <w:keepNext/>
              <w:spacing w:before="0" w:after="0" w:line="240" w:lineRule="auto"/>
              <w:jc w:val="center"/>
            </w:pPr>
            <w:r>
              <w:rPr>
                <w:rFonts w:ascii="Times New Roman" w:hAnsi="Times New Roman" w:eastAsia="Times New Roman" w:cs="Times New Roman"/>
                <w:b w:val="0"/>
                <w:color w:val="000000"/>
                <w:sz w:val="18"/>
              </w:rPr>
              <w:t>TM</w:t>
            </w:r>
          </w:p>
        </w:tc>
        <w:tc>
          <w:tcPr>
            <w:tcW w:w="1872" w:type="dxa"/>
            <w:tcMar>
              <w:top w:w="70" w:type="dxa"/>
              <w:left w:w="65" w:type="dxa"/>
              <w:bottom w:w="70" w:type="dxa"/>
              <w:right w:w="65" w:type="dxa"/>
            </w:tcMar>
            <w:vAlign w:val="center"/>
          </w:tcPr>
          <w:p w14:paraId="34D4B481">
            <w:pPr>
              <w:keepNext/>
              <w:spacing w:before="0" w:after="0" w:line="240" w:lineRule="auto"/>
              <w:jc w:val="center"/>
            </w:pPr>
            <w:r>
              <w:rPr>
                <w:rFonts w:ascii="Times New Roman" w:hAnsi="Times New Roman" w:eastAsia="Times New Roman" w:cs="Times New Roman"/>
                <w:b w:val="0"/>
                <w:color w:val="000000"/>
                <w:sz w:val="18"/>
              </w:rPr>
              <w:t>1 TU/mL</w:t>
            </w:r>
          </w:p>
        </w:tc>
        <w:tc>
          <w:tcPr>
            <w:tcW w:w="3240" w:type="dxa"/>
            <w:tcMar>
              <w:top w:w="70" w:type="dxa"/>
              <w:left w:w="65" w:type="dxa"/>
              <w:bottom w:w="70" w:type="dxa"/>
              <w:right w:w="65" w:type="dxa"/>
            </w:tcMar>
            <w:vAlign w:val="center"/>
          </w:tcPr>
          <w:p w14:paraId="213EDF47">
            <w:pPr>
              <w:keepNext/>
              <w:spacing w:before="0" w:after="0" w:line="240" w:lineRule="auto"/>
              <w:jc w:val="center"/>
            </w:pPr>
            <w:r>
              <w:rPr>
                <w:rFonts w:ascii="Times New Roman" w:hAnsi="Times New Roman" w:eastAsia="Times New Roman" w:cs="Times New Roman"/>
                <w:b w:val="0"/>
                <w:color w:val="000000"/>
                <w:sz w:val="18"/>
              </w:rPr>
              <w:t>1.05 (0.99–1.11)</w:t>
            </w:r>
          </w:p>
        </w:tc>
        <w:tc>
          <w:tcPr>
            <w:tcW w:w="1440" w:type="dxa"/>
            <w:tcMar>
              <w:top w:w="70" w:type="dxa"/>
              <w:left w:w="65" w:type="dxa"/>
              <w:bottom w:w="70" w:type="dxa"/>
              <w:right w:w="65" w:type="dxa"/>
            </w:tcMar>
            <w:vAlign w:val="center"/>
          </w:tcPr>
          <w:p w14:paraId="6C2E1F89">
            <w:pPr>
              <w:keepNext/>
              <w:spacing w:before="0" w:after="0" w:line="240" w:lineRule="auto"/>
              <w:jc w:val="center"/>
            </w:pPr>
            <w:r>
              <w:rPr>
                <w:rFonts w:ascii="Times New Roman" w:hAnsi="Times New Roman" w:eastAsia="Times New Roman" w:cs="Times New Roman"/>
                <w:b w:val="0"/>
                <w:color w:val="000000"/>
                <w:sz w:val="18"/>
              </w:rPr>
              <w:t>0.087</w:t>
            </w:r>
          </w:p>
        </w:tc>
      </w:tr>
      <w:tr w14:paraId="4E9652F8">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703E6C16">
            <w:pPr>
              <w:keepNext/>
              <w:spacing w:before="0" w:after="0" w:line="240" w:lineRule="auto"/>
              <w:jc w:val="center"/>
            </w:pPr>
            <w:r>
              <w:rPr>
                <w:rFonts w:ascii="Times New Roman" w:hAnsi="Times New Roman" w:eastAsia="Times New Roman" w:cs="Times New Roman"/>
                <w:b w:val="0"/>
                <w:color w:val="000000"/>
                <w:sz w:val="18"/>
              </w:rPr>
              <w:t>PIC</w:t>
            </w:r>
          </w:p>
        </w:tc>
        <w:tc>
          <w:tcPr>
            <w:tcW w:w="1872" w:type="dxa"/>
            <w:tcMar>
              <w:top w:w="70" w:type="dxa"/>
              <w:left w:w="65" w:type="dxa"/>
              <w:bottom w:w="70" w:type="dxa"/>
              <w:right w:w="65" w:type="dxa"/>
            </w:tcMar>
            <w:vAlign w:val="center"/>
          </w:tcPr>
          <w:p w14:paraId="77FFD5A3">
            <w:pPr>
              <w:keepNext/>
              <w:spacing w:before="0" w:after="0" w:line="240" w:lineRule="auto"/>
              <w:jc w:val="center"/>
            </w:pPr>
            <w:r>
              <w:rPr>
                <w:rFonts w:ascii="Times New Roman" w:hAnsi="Times New Roman" w:eastAsia="Times New Roman" w:cs="Times New Roman"/>
                <w:b w:val="0"/>
                <w:color w:val="000000"/>
                <w:sz w:val="18"/>
              </w:rPr>
              <w:t>0.1 μg/mL</w:t>
            </w:r>
          </w:p>
        </w:tc>
        <w:tc>
          <w:tcPr>
            <w:tcW w:w="3240" w:type="dxa"/>
            <w:tcMar>
              <w:top w:w="70" w:type="dxa"/>
              <w:left w:w="65" w:type="dxa"/>
              <w:bottom w:w="70" w:type="dxa"/>
              <w:right w:w="65" w:type="dxa"/>
            </w:tcMar>
            <w:vAlign w:val="center"/>
          </w:tcPr>
          <w:p w14:paraId="1ADE74C0">
            <w:pPr>
              <w:keepNext/>
              <w:spacing w:before="0" w:after="0" w:line="240" w:lineRule="auto"/>
              <w:jc w:val="center"/>
            </w:pPr>
            <w:r>
              <w:rPr>
                <w:rFonts w:ascii="Times New Roman" w:hAnsi="Times New Roman" w:eastAsia="Times New Roman" w:cs="Times New Roman"/>
                <w:b w:val="0"/>
                <w:color w:val="000000"/>
                <w:sz w:val="18"/>
              </w:rPr>
              <w:t>1.17 (1.04–1.31)</w:t>
            </w:r>
          </w:p>
        </w:tc>
        <w:tc>
          <w:tcPr>
            <w:tcW w:w="1440" w:type="dxa"/>
            <w:tcMar>
              <w:top w:w="70" w:type="dxa"/>
              <w:left w:w="65" w:type="dxa"/>
              <w:bottom w:w="70" w:type="dxa"/>
              <w:right w:w="65" w:type="dxa"/>
            </w:tcMar>
            <w:vAlign w:val="center"/>
          </w:tcPr>
          <w:p w14:paraId="307FBAF0">
            <w:pPr>
              <w:keepNext/>
              <w:spacing w:before="0" w:after="0" w:line="240" w:lineRule="auto"/>
              <w:jc w:val="center"/>
            </w:pPr>
            <w:r>
              <w:rPr>
                <w:rFonts w:ascii="Times New Roman" w:hAnsi="Times New Roman" w:eastAsia="Times New Roman" w:cs="Times New Roman"/>
                <w:b w:val="0"/>
                <w:color w:val="000000"/>
                <w:sz w:val="18"/>
              </w:rPr>
              <w:t>0.008</w:t>
            </w:r>
          </w:p>
        </w:tc>
      </w:tr>
      <w:tr w14:paraId="2FD13FFF">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18A6ACDC">
            <w:pPr>
              <w:keepNext/>
              <w:spacing w:before="0" w:after="0" w:line="240" w:lineRule="auto"/>
              <w:jc w:val="center"/>
            </w:pPr>
            <w:r>
              <w:rPr>
                <w:rFonts w:ascii="Times New Roman" w:hAnsi="Times New Roman" w:eastAsia="Times New Roman" w:cs="Times New Roman"/>
                <w:b w:val="0"/>
                <w:color w:val="000000"/>
                <w:sz w:val="18"/>
              </w:rPr>
              <w:t>tPAI-C</w:t>
            </w:r>
          </w:p>
        </w:tc>
        <w:tc>
          <w:tcPr>
            <w:tcW w:w="1872" w:type="dxa"/>
            <w:tcMar>
              <w:top w:w="70" w:type="dxa"/>
              <w:left w:w="65" w:type="dxa"/>
              <w:bottom w:w="70" w:type="dxa"/>
              <w:right w:w="65" w:type="dxa"/>
            </w:tcMar>
            <w:vAlign w:val="center"/>
          </w:tcPr>
          <w:p w14:paraId="5D205668">
            <w:pPr>
              <w:keepNext/>
              <w:spacing w:before="0" w:after="0" w:line="240" w:lineRule="auto"/>
              <w:jc w:val="center"/>
            </w:pPr>
            <w:r>
              <w:rPr>
                <w:rFonts w:ascii="Times New Roman" w:hAnsi="Times New Roman" w:eastAsia="Times New Roman" w:cs="Times New Roman"/>
                <w:b w:val="0"/>
                <w:color w:val="000000"/>
                <w:sz w:val="18"/>
              </w:rPr>
              <w:t>1 ng/mL</w:t>
            </w:r>
          </w:p>
        </w:tc>
        <w:tc>
          <w:tcPr>
            <w:tcW w:w="3240" w:type="dxa"/>
            <w:tcMar>
              <w:top w:w="70" w:type="dxa"/>
              <w:left w:w="65" w:type="dxa"/>
              <w:bottom w:w="70" w:type="dxa"/>
              <w:right w:w="65" w:type="dxa"/>
            </w:tcMar>
            <w:vAlign w:val="center"/>
          </w:tcPr>
          <w:p w14:paraId="1E5F7F70">
            <w:pPr>
              <w:keepNext/>
              <w:spacing w:before="0" w:after="0" w:line="240" w:lineRule="auto"/>
              <w:jc w:val="center"/>
            </w:pPr>
            <w:r>
              <w:rPr>
                <w:rFonts w:ascii="Times New Roman" w:hAnsi="Times New Roman" w:eastAsia="Times New Roman" w:cs="Times New Roman"/>
                <w:b w:val="0"/>
                <w:color w:val="000000"/>
                <w:sz w:val="18"/>
              </w:rPr>
              <w:t>1.07 (1.02–1.12)</w:t>
            </w:r>
          </w:p>
        </w:tc>
        <w:tc>
          <w:tcPr>
            <w:tcW w:w="1440" w:type="dxa"/>
            <w:tcMar>
              <w:top w:w="70" w:type="dxa"/>
              <w:left w:w="65" w:type="dxa"/>
              <w:bottom w:w="70" w:type="dxa"/>
              <w:right w:w="65" w:type="dxa"/>
            </w:tcMar>
            <w:vAlign w:val="center"/>
          </w:tcPr>
          <w:p w14:paraId="47F1CED3">
            <w:pPr>
              <w:keepNext/>
              <w:spacing w:before="0" w:after="0" w:line="240" w:lineRule="auto"/>
              <w:jc w:val="center"/>
            </w:pPr>
            <w:r>
              <w:rPr>
                <w:rFonts w:ascii="Times New Roman" w:hAnsi="Times New Roman" w:eastAsia="Times New Roman" w:cs="Times New Roman"/>
                <w:b w:val="0"/>
                <w:color w:val="000000"/>
                <w:sz w:val="18"/>
              </w:rPr>
              <w:t>0.005</w:t>
            </w:r>
          </w:p>
        </w:tc>
      </w:tr>
      <w:tr w14:paraId="2D865630">
        <w:tblPrEx>
          <w:tblBorders>
            <w:top w:val="single" w:color="000000" w:sz="8" w:space="0"/>
            <w:left w:val="none" w:color="000000" w:sz="0" w:space="0"/>
            <w:bottom w:val="single" w:color="000000" w:sz="8" w:space="0"/>
            <w:right w:val="none" w:color="000000" w:sz="0" w:space="0"/>
            <w:insideH w:val="none" w:color="000000" w:sz="0" w:space="0"/>
            <w:insideV w:val="none" w:color="000000" w:sz="0" w:space="0"/>
          </w:tblBorders>
          <w:tblCellMar>
            <w:top w:w="0" w:type="dxa"/>
            <w:left w:w="108" w:type="dxa"/>
            <w:bottom w:w="0" w:type="dxa"/>
            <w:right w:w="108" w:type="dxa"/>
          </w:tblCellMar>
        </w:tblPrEx>
        <w:trPr>
          <w:cantSplit/>
          <w:jc w:val="center"/>
        </w:trPr>
        <w:tc>
          <w:tcPr>
            <w:tcW w:w="2448" w:type="dxa"/>
            <w:tcMar>
              <w:top w:w="70" w:type="dxa"/>
              <w:left w:w="65" w:type="dxa"/>
              <w:bottom w:w="70" w:type="dxa"/>
              <w:right w:w="65" w:type="dxa"/>
            </w:tcMar>
            <w:vAlign w:val="center"/>
          </w:tcPr>
          <w:p w14:paraId="78E37E12">
            <w:pPr>
              <w:keepNext w:val="0"/>
              <w:spacing w:before="0" w:after="0" w:line="240" w:lineRule="auto"/>
              <w:jc w:val="center"/>
            </w:pPr>
            <w:r>
              <w:rPr>
                <w:rFonts w:ascii="Times New Roman" w:hAnsi="Times New Roman" w:eastAsia="Times New Roman" w:cs="Times New Roman"/>
                <w:b w:val="0"/>
                <w:color w:val="000000"/>
                <w:sz w:val="18"/>
              </w:rPr>
              <w:t>TAT/PIC ratio</w:t>
            </w:r>
          </w:p>
        </w:tc>
        <w:tc>
          <w:tcPr>
            <w:tcW w:w="1872" w:type="dxa"/>
            <w:tcMar>
              <w:top w:w="70" w:type="dxa"/>
              <w:left w:w="65" w:type="dxa"/>
              <w:bottom w:w="70" w:type="dxa"/>
              <w:right w:w="65" w:type="dxa"/>
            </w:tcMar>
            <w:vAlign w:val="center"/>
          </w:tcPr>
          <w:p w14:paraId="1135B7C1">
            <w:pPr>
              <w:keepNext w:val="0"/>
              <w:spacing w:before="0" w:after="0" w:line="240" w:lineRule="auto"/>
              <w:jc w:val="center"/>
            </w:pPr>
            <w:r>
              <w:rPr>
                <w:rFonts w:ascii="Times New Roman" w:hAnsi="Times New Roman" w:eastAsia="Times New Roman" w:cs="Times New Roman"/>
                <w:b w:val="0"/>
                <w:color w:val="000000"/>
                <w:sz w:val="18"/>
              </w:rPr>
              <w:t>1 unit</w:t>
            </w:r>
          </w:p>
        </w:tc>
        <w:tc>
          <w:tcPr>
            <w:tcW w:w="3240" w:type="dxa"/>
            <w:tcMar>
              <w:top w:w="70" w:type="dxa"/>
              <w:left w:w="65" w:type="dxa"/>
              <w:bottom w:w="70" w:type="dxa"/>
              <w:right w:w="65" w:type="dxa"/>
            </w:tcMar>
            <w:vAlign w:val="center"/>
          </w:tcPr>
          <w:p w14:paraId="021DB212">
            <w:pPr>
              <w:keepNext w:val="0"/>
              <w:spacing w:before="0" w:after="0" w:line="240" w:lineRule="auto"/>
              <w:jc w:val="center"/>
            </w:pPr>
            <w:r>
              <w:rPr>
                <w:rFonts w:ascii="Times New Roman" w:hAnsi="Times New Roman" w:eastAsia="Times New Roman" w:cs="Times New Roman"/>
                <w:b w:val="0"/>
                <w:color w:val="000000"/>
                <w:sz w:val="18"/>
              </w:rPr>
              <w:t>1.06 (0.98–1.15)</w:t>
            </w:r>
          </w:p>
        </w:tc>
        <w:tc>
          <w:tcPr>
            <w:tcW w:w="1440" w:type="dxa"/>
            <w:tcMar>
              <w:top w:w="70" w:type="dxa"/>
              <w:left w:w="65" w:type="dxa"/>
              <w:bottom w:w="70" w:type="dxa"/>
              <w:right w:w="65" w:type="dxa"/>
            </w:tcMar>
            <w:vAlign w:val="center"/>
          </w:tcPr>
          <w:p w14:paraId="1651617D">
            <w:pPr>
              <w:keepNext w:val="0"/>
              <w:spacing w:before="0" w:after="0" w:line="240" w:lineRule="auto"/>
              <w:jc w:val="center"/>
            </w:pPr>
            <w:r>
              <w:rPr>
                <w:rFonts w:ascii="Times New Roman" w:hAnsi="Times New Roman" w:eastAsia="Times New Roman" w:cs="Times New Roman"/>
                <w:b w:val="0"/>
                <w:color w:val="000000"/>
                <w:sz w:val="18"/>
              </w:rPr>
              <w:t>0.129</w:t>
            </w:r>
          </w:p>
        </w:tc>
      </w:tr>
    </w:tbl>
    <w:p w14:paraId="66DD8C6B">
      <w:pPr>
        <w:widowControl/>
        <w:spacing w:before="120" w:after="0" w:line="300" w:lineRule="auto"/>
        <w:jc w:val="both"/>
      </w:pPr>
      <w:r>
        <w:rPr>
          <w:rFonts w:ascii="Times New Roman" w:hAnsi="Times New Roman" w:eastAsia="Times New Roman" w:cs="Times New Roman"/>
          <w:b w:val="0"/>
          <w:color w:val="000000"/>
          <w:sz w:val="18"/>
        </w:rPr>
        <w:t xml:space="preserve">Note: This exploratory sensitivity analysis included 374 women who delivered more than 7 days after biomarker sampling and had no FGR diagnosis before sampling; 69 delivered SGA infants. Each biomarker was evaluated in a separate modified Poisson regression model with robust standard errors. Models were adjusted for maternal age, </w:t>
      </w:r>
      <w:r>
        <w:rPr>
          <w:rFonts w:hint="eastAsia" w:eastAsia="宋体" w:cs="Times New Roman"/>
          <w:b w:val="0"/>
          <w:color w:val="000000"/>
          <w:sz w:val="18"/>
          <w:lang w:eastAsia="zh-CN"/>
        </w:rPr>
        <w:t>pre-pregnancy</w:t>
      </w:r>
      <w:r>
        <w:rPr>
          <w:rFonts w:ascii="Times New Roman" w:hAnsi="Times New Roman" w:eastAsia="Times New Roman" w:cs="Times New Roman"/>
          <w:b w:val="0"/>
          <w:color w:val="000000"/>
          <w:sz w:val="18"/>
        </w:rPr>
        <w:t xml:space="preserve"> BMI, nulliparity, gestational age at biomarker sampling, HbA1c, serum creatinine, folate supplementation, aspirin or anticoagulant use before sampling, and gestational age at PE diagnosis. The TAT/PIC ratio was calculated by dividing TAT in ng/mL by PIC in μg/mL. P values were not adjusted for multiple comparisons. aRR, adjusted risk ratio; CI, confidence interval; FGR, fetal growth restriction; SGA, small for gestational age.</w:t>
      </w:r>
    </w:p>
    <w:p w14:paraId="5F0C2F14"/>
    <w:sectPr>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0" w:lineRule="auto"/>
      </w:pPr>
      <w:r>
        <w:separator/>
      </w:r>
    </w:p>
  </w:footnote>
  <w:footnote w:type="continuationSeparator" w:id="1">
    <w:p>
      <w:pPr>
        <w:spacing w:before="0" w:after="0" w:line="30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B7F4220"/>
    <w:rsid w:val="740718AD"/>
    <w:rsid w:val="74F054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0" w:after="0" w:line="300" w:lineRule="auto"/>
    </w:pPr>
    <w:rPr>
      <w:rFonts w:ascii="Times New Roman" w:hAnsi="Times New Roman" w:eastAsiaTheme="minorEastAsia" w:cstheme="minorBidi"/>
      <w:color w:val="000000"/>
      <w:sz w:val="18"/>
      <w:szCs w:val="22"/>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0" w:after="0" w:line="300" w:lineRule="auto"/>
      <w:contextualSpacing/>
    </w:pPr>
    <w:rPr>
      <w:rFonts w:asciiTheme="majorHAnsi" w:hAnsiTheme="majorHAnsi" w:eastAsiaTheme="majorEastAsia" w:cstheme="majorBidi"/>
      <w:b/>
      <w:color w:val="000000"/>
      <w:spacing w:val="5"/>
      <w:kern w:val="28"/>
      <w:sz w:val="21"/>
      <w:szCs w:val="5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190</Words>
  <Characters>1116</Characters>
  <Lines>0</Lines>
  <Paragraphs>0</Paragraphs>
  <TotalTime>1</TotalTime>
  <ScaleCrop>false</ScaleCrop>
  <LinksUpToDate>false</LinksUpToDate>
  <CharactersWithSpaces>1275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2026-10-09T09:14:00Z</dcterms:created>
  <dc:creator>孙亚召</dc:creator>
  <cp:lastModifiedBy>Doctor</cp:lastModifiedBy>
  <dcterms:modified xsi:type="dcterms:W3CDTF">2026-10-09T12:03:56Z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eyJoZGlkIjoiMDAzM2QwZThkYjFmYmZiZjVjMzVhNzRmOGJmNGQ5ZjEiLCJ1c2VySWQiOiIyOTE0MjYzNDQifQ==</vt:lpwstr>
  </property>
  <property fmtid="{D5CDD505-2E9C-101B-9397-08002B2CF9AE}" pid="4" name="ICV">
    <vt:lpwstr>D603A42C98C644DBA4B7A3DEC93B73F9_12</vt:lpwstr>
  </property>
</Properties>
</file>