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97" w:rsidRPr="003B1697" w:rsidRDefault="003B1697" w:rsidP="003B169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3B1697">
        <w:rPr>
          <w:rFonts w:ascii="Times New Roman" w:hAnsi="Times New Roman" w:cs="Times New Roman"/>
          <w:b/>
        </w:rPr>
        <w:t xml:space="preserve">Table </w:t>
      </w:r>
      <w:r w:rsidR="008C02B9">
        <w:rPr>
          <w:rFonts w:ascii="Times New Roman" w:hAnsi="Times New Roman" w:cs="Times New Roman"/>
          <w:b/>
        </w:rPr>
        <w:t>S</w:t>
      </w:r>
      <w:r w:rsidRPr="003B1697">
        <w:rPr>
          <w:rFonts w:ascii="Times New Roman" w:hAnsi="Times New Roman" w:cs="Times New Roman"/>
          <w:b/>
        </w:rPr>
        <w:t>1. Comparison of DNA methylation frequency of genes screened in breast carcinomas with the methylation frequency in literature</w:t>
      </w:r>
    </w:p>
    <w:p w:rsidR="00832F25" w:rsidRDefault="00832F25" w:rsidP="00832F25">
      <w:pPr>
        <w:widowControl w:val="0"/>
        <w:autoSpaceDE w:val="0"/>
        <w:autoSpaceDN w:val="0"/>
        <w:adjustRightInd w:val="0"/>
        <w:spacing w:before="8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7900" w:type="dxa"/>
        <w:tblInd w:w="6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73"/>
        <w:gridCol w:w="1234"/>
        <w:gridCol w:w="1454"/>
        <w:gridCol w:w="4039"/>
      </w:tblGrid>
      <w:tr w:rsidR="00832F25" w:rsidTr="00832F25">
        <w:trPr>
          <w:trHeight w:hRule="exact" w:val="747"/>
        </w:trPr>
        <w:tc>
          <w:tcPr>
            <w:tcW w:w="1173" w:type="dxa"/>
            <w:tcBorders>
              <w:top w:val="nil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2" w:lineRule="exact"/>
              <w:ind w:left="122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Gene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2" w:lineRule="exact"/>
              <w:ind w:left="170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MS-HRM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2" w:lineRule="exact"/>
              <w:ind w:left="235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Literature</w:t>
            </w:r>
          </w:p>
          <w:p w:rsidR="00832F25" w:rsidRDefault="00832F25">
            <w:pPr>
              <w:widowControl w:val="0"/>
              <w:autoSpaceDE w:val="0"/>
              <w:autoSpaceDN w:val="0"/>
              <w:adjustRightInd w:val="0"/>
              <w:ind w:left="243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</w:rPr>
              <w:t>(Average)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2" w:lineRule="exact"/>
              <w:ind w:left="109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Methods used in literature</w:t>
            </w:r>
          </w:p>
        </w:tc>
      </w:tr>
      <w:tr w:rsidR="00832F25" w:rsidTr="00832F25">
        <w:trPr>
          <w:trHeight w:hRule="exact" w:val="1218"/>
        </w:trPr>
        <w:tc>
          <w:tcPr>
            <w:tcW w:w="1173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22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position w:val="1"/>
              </w:rPr>
              <w:t>RASSF1A</w:t>
            </w:r>
          </w:p>
        </w:tc>
        <w:tc>
          <w:tcPr>
            <w:tcW w:w="1234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10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64%</w:t>
            </w:r>
          </w:p>
        </w:tc>
        <w:tc>
          <w:tcPr>
            <w:tcW w:w="1454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82" w:right="4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71%</w:t>
            </w:r>
          </w:p>
        </w:tc>
        <w:tc>
          <w:tcPr>
            <w:tcW w:w="4039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09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Pyrosequencing (Feng et al., 2007;</w:t>
            </w:r>
          </w:p>
          <w:p w:rsidR="00832F25" w:rsidRDefault="00832F25">
            <w:pPr>
              <w:widowControl w:val="0"/>
              <w:autoSpaceDE w:val="0"/>
              <w:autoSpaceDN w:val="0"/>
              <w:adjustRightInd w:val="0"/>
              <w:spacing w:before="1"/>
              <w:ind w:left="109" w:right="10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Pasquali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et al., 2007), MethyLight (Cho et al., 2010);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</w:rPr>
              <w:t>MSP (Sharma et al.,</w:t>
            </w:r>
          </w:p>
          <w:p w:rsidR="00832F25" w:rsidRDefault="00832F25">
            <w:pPr>
              <w:widowControl w:val="0"/>
              <w:autoSpaceDE w:val="0"/>
              <w:autoSpaceDN w:val="0"/>
              <w:adjustRightInd w:val="0"/>
              <w:ind w:left="109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2009); MS-</w:t>
            </w:r>
            <w:r>
              <w:rPr>
                <w:rFonts w:ascii="Calibri" w:hAnsi="Calibri" w:cs="Calibri"/>
                <w:spacing w:val="2"/>
              </w:rPr>
              <w:t>H</w:t>
            </w:r>
            <w:r>
              <w:rPr>
                <w:rFonts w:ascii="Calibri" w:hAnsi="Calibri" w:cs="Calibri"/>
              </w:rPr>
              <w:t>RM (unpublished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data)</w:t>
            </w:r>
          </w:p>
        </w:tc>
      </w:tr>
      <w:tr w:rsidR="00832F25" w:rsidTr="00832F25">
        <w:trPr>
          <w:trHeight w:hRule="exact" w:val="923"/>
        </w:trPr>
        <w:tc>
          <w:tcPr>
            <w:tcW w:w="1173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22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position w:val="1"/>
              </w:rPr>
              <w:t>TWIST1</w:t>
            </w:r>
          </w:p>
        </w:tc>
        <w:tc>
          <w:tcPr>
            <w:tcW w:w="1234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10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61%</w:t>
            </w:r>
          </w:p>
        </w:tc>
        <w:tc>
          <w:tcPr>
            <w:tcW w:w="1454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82" w:right="4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26%</w:t>
            </w:r>
          </w:p>
        </w:tc>
        <w:tc>
          <w:tcPr>
            <w:tcW w:w="4039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09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Quantitative multiplex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MSP (Gort et</w:t>
            </w:r>
          </w:p>
          <w:p w:rsidR="00832F25" w:rsidRDefault="00832F25">
            <w:pPr>
              <w:widowControl w:val="0"/>
              <w:autoSpaceDE w:val="0"/>
              <w:autoSpaceDN w:val="0"/>
              <w:adjustRightInd w:val="0"/>
              <w:ind w:left="109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al., 2008); MethyLight (</w:t>
            </w:r>
            <w:r>
              <w:rPr>
                <w:rFonts w:ascii="Calibri" w:hAnsi="Calibri" w:cs="Calibri"/>
                <w:spacing w:val="-1"/>
              </w:rPr>
              <w:t>C</w:t>
            </w:r>
            <w:r>
              <w:rPr>
                <w:rFonts w:ascii="Calibri" w:hAnsi="Calibri" w:cs="Calibri"/>
              </w:rPr>
              <w:t>ho et al.,</w:t>
            </w:r>
          </w:p>
          <w:p w:rsidR="00832F25" w:rsidRDefault="00832F25">
            <w:pPr>
              <w:widowControl w:val="0"/>
              <w:autoSpaceDE w:val="0"/>
              <w:autoSpaceDN w:val="0"/>
              <w:adjustRightInd w:val="0"/>
              <w:ind w:left="109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2010)</w:t>
            </w:r>
          </w:p>
        </w:tc>
      </w:tr>
      <w:tr w:rsidR="00832F25" w:rsidTr="00832F25">
        <w:trPr>
          <w:trHeight w:hRule="exact" w:val="924"/>
        </w:trPr>
        <w:tc>
          <w:tcPr>
            <w:tcW w:w="1173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22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position w:val="1"/>
              </w:rPr>
              <w:t>APC</w:t>
            </w:r>
          </w:p>
        </w:tc>
        <w:tc>
          <w:tcPr>
            <w:tcW w:w="1234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10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53%</w:t>
            </w:r>
          </w:p>
        </w:tc>
        <w:tc>
          <w:tcPr>
            <w:tcW w:w="1454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82" w:right="4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37%</w:t>
            </w:r>
          </w:p>
        </w:tc>
        <w:tc>
          <w:tcPr>
            <w:tcW w:w="4039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09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Bisulfite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sequencing/MSP (Jin et al.,</w:t>
            </w:r>
          </w:p>
          <w:p w:rsidR="00832F25" w:rsidRDefault="00832F25">
            <w:pPr>
              <w:widowControl w:val="0"/>
              <w:autoSpaceDE w:val="0"/>
              <w:autoSpaceDN w:val="0"/>
              <w:adjustRightInd w:val="0"/>
              <w:spacing w:before="1"/>
              <w:ind w:left="109" w:right="291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2001); MethyLight (Cho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et al., 2010); MSP (Prasad et al., 2008)</w:t>
            </w:r>
          </w:p>
        </w:tc>
      </w:tr>
      <w:tr w:rsidR="00832F25" w:rsidTr="00832F25">
        <w:trPr>
          <w:trHeight w:hRule="exact" w:val="924"/>
        </w:trPr>
        <w:tc>
          <w:tcPr>
            <w:tcW w:w="1173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22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position w:val="1"/>
              </w:rPr>
              <w:t>CDH13</w:t>
            </w:r>
          </w:p>
        </w:tc>
        <w:tc>
          <w:tcPr>
            <w:tcW w:w="1234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10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51%</w:t>
            </w:r>
          </w:p>
        </w:tc>
        <w:tc>
          <w:tcPr>
            <w:tcW w:w="1454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82" w:right="4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49%</w:t>
            </w:r>
          </w:p>
        </w:tc>
        <w:tc>
          <w:tcPr>
            <w:tcW w:w="4039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09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Pyrosequencing (Feng et al., 2007);</w:t>
            </w:r>
          </w:p>
          <w:p w:rsidR="00832F25" w:rsidRDefault="00832F25">
            <w:pPr>
              <w:widowControl w:val="0"/>
              <w:autoSpaceDE w:val="0"/>
              <w:autoSpaceDN w:val="0"/>
              <w:adjustRightInd w:val="0"/>
              <w:spacing w:before="1"/>
              <w:ind w:left="109" w:right="267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MSP (Toyooka et al., 2</w:t>
            </w:r>
            <w:r>
              <w:rPr>
                <w:rFonts w:ascii="Calibri" w:hAnsi="Calibri" w:cs="Calibri"/>
                <w:spacing w:val="1"/>
              </w:rPr>
              <w:t>0</w:t>
            </w:r>
            <w:r>
              <w:rPr>
                <w:rFonts w:ascii="Calibri" w:hAnsi="Calibri" w:cs="Calibri"/>
              </w:rPr>
              <w:t>01); MS-HRM (unpublished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data)</w:t>
            </w:r>
          </w:p>
        </w:tc>
      </w:tr>
      <w:tr w:rsidR="00832F25" w:rsidTr="00832F25">
        <w:trPr>
          <w:trHeight w:hRule="exact" w:val="631"/>
        </w:trPr>
        <w:tc>
          <w:tcPr>
            <w:tcW w:w="1173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22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position w:val="1"/>
              </w:rPr>
              <w:t>MAL</w:t>
            </w:r>
          </w:p>
        </w:tc>
        <w:tc>
          <w:tcPr>
            <w:tcW w:w="1234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10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38%</w:t>
            </w:r>
          </w:p>
        </w:tc>
        <w:tc>
          <w:tcPr>
            <w:tcW w:w="1454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82" w:right="4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66%</w:t>
            </w:r>
          </w:p>
        </w:tc>
        <w:tc>
          <w:tcPr>
            <w:tcW w:w="4039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09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Bisulfite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sequencing (H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rne et al.,</w:t>
            </w:r>
          </w:p>
          <w:p w:rsidR="00832F25" w:rsidRDefault="00832F25">
            <w:pPr>
              <w:widowControl w:val="0"/>
              <w:autoSpaceDE w:val="0"/>
              <w:autoSpaceDN w:val="0"/>
              <w:adjustRightInd w:val="0"/>
              <w:ind w:left="109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2009); MS-</w:t>
            </w:r>
            <w:r>
              <w:rPr>
                <w:rFonts w:ascii="Calibri" w:hAnsi="Calibri" w:cs="Calibri"/>
                <w:spacing w:val="2"/>
              </w:rPr>
              <w:t>H</w:t>
            </w:r>
            <w:r>
              <w:rPr>
                <w:rFonts w:ascii="Calibri" w:hAnsi="Calibri" w:cs="Calibri"/>
              </w:rPr>
              <w:t>RM (unpublished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data)</w:t>
            </w:r>
          </w:p>
        </w:tc>
      </w:tr>
      <w:tr w:rsidR="00832F25" w:rsidTr="00832F25">
        <w:trPr>
          <w:trHeight w:hRule="exact" w:val="1217"/>
        </w:trPr>
        <w:tc>
          <w:tcPr>
            <w:tcW w:w="1173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22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position w:val="1"/>
              </w:rPr>
              <w:t>GSTP1</w:t>
            </w:r>
          </w:p>
        </w:tc>
        <w:tc>
          <w:tcPr>
            <w:tcW w:w="1234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10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31%</w:t>
            </w:r>
          </w:p>
        </w:tc>
        <w:tc>
          <w:tcPr>
            <w:tcW w:w="1454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82" w:right="4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47%</w:t>
            </w:r>
          </w:p>
        </w:tc>
        <w:tc>
          <w:tcPr>
            <w:tcW w:w="4039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09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Pyrosequencing (Pasquali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et al., 2007);</w:t>
            </w:r>
          </w:p>
          <w:p w:rsidR="00832F25" w:rsidRDefault="00832F25">
            <w:pPr>
              <w:widowControl w:val="0"/>
              <w:autoSpaceDE w:val="0"/>
              <w:autoSpaceDN w:val="0"/>
              <w:adjustRightInd w:val="0"/>
              <w:ind w:left="109" w:right="32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MSP (Esteller et al., 2001; Sharma et al., 2009); MALDI (Ronneberg et al.,</w:t>
            </w:r>
          </w:p>
          <w:p w:rsidR="00832F25" w:rsidRDefault="00832F25">
            <w:pPr>
              <w:widowControl w:val="0"/>
              <w:autoSpaceDE w:val="0"/>
              <w:autoSpaceDN w:val="0"/>
              <w:adjustRightInd w:val="0"/>
              <w:spacing w:before="1"/>
              <w:ind w:left="109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2008)</w:t>
            </w:r>
          </w:p>
        </w:tc>
      </w:tr>
      <w:tr w:rsidR="00832F25" w:rsidTr="00832F25">
        <w:trPr>
          <w:trHeight w:hRule="exact" w:val="631"/>
        </w:trPr>
        <w:tc>
          <w:tcPr>
            <w:tcW w:w="1173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22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position w:val="1"/>
              </w:rPr>
              <w:t>WIF1</w:t>
            </w:r>
          </w:p>
        </w:tc>
        <w:tc>
          <w:tcPr>
            <w:tcW w:w="1234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10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28%</w:t>
            </w:r>
          </w:p>
        </w:tc>
        <w:tc>
          <w:tcPr>
            <w:tcW w:w="1454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82" w:right="4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65%</w:t>
            </w:r>
          </w:p>
        </w:tc>
        <w:tc>
          <w:tcPr>
            <w:tcW w:w="4039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09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Bisulfite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se</w:t>
            </w:r>
            <w:r>
              <w:rPr>
                <w:rFonts w:ascii="Calibri" w:hAnsi="Calibri" w:cs="Calibri"/>
                <w:spacing w:val="-1"/>
                <w:position w:val="1"/>
              </w:rPr>
              <w:t>q</w:t>
            </w:r>
            <w:r>
              <w:rPr>
                <w:rFonts w:ascii="Calibri" w:hAnsi="Calibri" w:cs="Calibri"/>
                <w:position w:val="1"/>
              </w:rPr>
              <w:t>uencing/MSP (Ai et al.,</w:t>
            </w:r>
          </w:p>
          <w:p w:rsidR="00832F25" w:rsidRDefault="00832F25">
            <w:pPr>
              <w:widowControl w:val="0"/>
              <w:autoSpaceDE w:val="0"/>
              <w:autoSpaceDN w:val="0"/>
              <w:adjustRightInd w:val="0"/>
              <w:ind w:left="109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2006); MSP (Veeck et al., 2009)</w:t>
            </w:r>
          </w:p>
        </w:tc>
      </w:tr>
      <w:tr w:rsidR="00832F25" w:rsidTr="00832F25">
        <w:trPr>
          <w:trHeight w:hRule="exact" w:val="924"/>
        </w:trPr>
        <w:tc>
          <w:tcPr>
            <w:tcW w:w="1173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22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position w:val="1"/>
              </w:rPr>
              <w:t>RARβ</w:t>
            </w:r>
          </w:p>
        </w:tc>
        <w:tc>
          <w:tcPr>
            <w:tcW w:w="1234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10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19%</w:t>
            </w:r>
          </w:p>
        </w:tc>
        <w:tc>
          <w:tcPr>
            <w:tcW w:w="1454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82" w:right="4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21%</w:t>
            </w:r>
          </w:p>
        </w:tc>
        <w:tc>
          <w:tcPr>
            <w:tcW w:w="4039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09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Pyrosequencing (Feng et al., 2007);</w:t>
            </w:r>
          </w:p>
          <w:p w:rsidR="00832F25" w:rsidRDefault="00832F25">
            <w:pPr>
              <w:widowControl w:val="0"/>
              <w:autoSpaceDE w:val="0"/>
              <w:autoSpaceDN w:val="0"/>
              <w:adjustRightInd w:val="0"/>
              <w:ind w:left="109" w:right="477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MethyLight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(Cho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et al.,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2010); MSP (Sharma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et al.,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2009)</w:t>
            </w:r>
          </w:p>
        </w:tc>
      </w:tr>
      <w:tr w:rsidR="00832F25" w:rsidTr="00832F25">
        <w:trPr>
          <w:trHeight w:hRule="exact" w:val="1802"/>
        </w:trPr>
        <w:tc>
          <w:tcPr>
            <w:tcW w:w="1173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22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position w:val="1"/>
              </w:rPr>
              <w:t>BRCA1</w:t>
            </w:r>
          </w:p>
        </w:tc>
        <w:tc>
          <w:tcPr>
            <w:tcW w:w="1234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33" w:right="4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2%</w:t>
            </w:r>
          </w:p>
        </w:tc>
        <w:tc>
          <w:tcPr>
            <w:tcW w:w="1454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82" w:right="4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20%</w:t>
            </w:r>
          </w:p>
        </w:tc>
        <w:tc>
          <w:tcPr>
            <w:tcW w:w="4039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09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Southern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blot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(Bianco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et al., 2000;</w:t>
            </w:r>
          </w:p>
          <w:p w:rsidR="00832F25" w:rsidRDefault="00832F25">
            <w:pPr>
              <w:widowControl w:val="0"/>
              <w:autoSpaceDE w:val="0"/>
              <w:autoSpaceDN w:val="0"/>
              <w:adjustRightInd w:val="0"/>
              <w:ind w:left="109" w:right="47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Dobrovic &amp; Simpfendorfer, 1997); MethyLight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(Cho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et al.,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2010); MSP (Esteller et al., 2000; Sharma et al.,</w:t>
            </w:r>
          </w:p>
          <w:p w:rsidR="00832F25" w:rsidRDefault="00832F25">
            <w:pPr>
              <w:widowControl w:val="0"/>
              <w:autoSpaceDE w:val="0"/>
              <w:autoSpaceDN w:val="0"/>
              <w:adjustRightInd w:val="0"/>
              <w:ind w:left="109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2009; Wei et al., 2005; Wei et al.,</w:t>
            </w:r>
          </w:p>
          <w:p w:rsidR="00832F25" w:rsidRDefault="00832F25">
            <w:pPr>
              <w:widowControl w:val="0"/>
              <w:autoSpaceDE w:val="0"/>
              <w:autoSpaceDN w:val="0"/>
              <w:adjustRightInd w:val="0"/>
              <w:spacing w:before="1"/>
              <w:ind w:left="109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2008); MS-</w:t>
            </w:r>
            <w:r>
              <w:rPr>
                <w:rFonts w:ascii="Calibri" w:hAnsi="Calibri" w:cs="Calibri"/>
                <w:spacing w:val="2"/>
              </w:rPr>
              <w:t>H</w:t>
            </w:r>
            <w:r>
              <w:rPr>
                <w:rFonts w:ascii="Calibri" w:hAnsi="Calibri" w:cs="Calibri"/>
              </w:rPr>
              <w:t>RM (unpublished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data)</w:t>
            </w:r>
          </w:p>
        </w:tc>
      </w:tr>
      <w:tr w:rsidR="00832F25" w:rsidTr="00832F25">
        <w:trPr>
          <w:trHeight w:hRule="exact" w:val="631"/>
        </w:trPr>
        <w:tc>
          <w:tcPr>
            <w:tcW w:w="1173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22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position w:val="1"/>
              </w:rPr>
              <w:t>CDKN2A</w:t>
            </w:r>
          </w:p>
        </w:tc>
        <w:tc>
          <w:tcPr>
            <w:tcW w:w="1234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33" w:right="4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2%</w:t>
            </w:r>
          </w:p>
        </w:tc>
        <w:tc>
          <w:tcPr>
            <w:tcW w:w="1454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543" w:right="5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9%</w:t>
            </w:r>
          </w:p>
        </w:tc>
        <w:tc>
          <w:tcPr>
            <w:tcW w:w="4039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09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Pyrosequencing (Feng et al., 2007);</w:t>
            </w:r>
          </w:p>
          <w:p w:rsidR="00832F25" w:rsidRDefault="00832F25">
            <w:pPr>
              <w:widowControl w:val="0"/>
              <w:autoSpaceDE w:val="0"/>
              <w:autoSpaceDN w:val="0"/>
              <w:adjustRightInd w:val="0"/>
              <w:ind w:left="109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MSP (Esteller et al., 2001)</w:t>
            </w:r>
          </w:p>
        </w:tc>
      </w:tr>
      <w:tr w:rsidR="00832F25" w:rsidTr="00832F25">
        <w:trPr>
          <w:trHeight w:hRule="exact" w:val="631"/>
        </w:trPr>
        <w:tc>
          <w:tcPr>
            <w:tcW w:w="1173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22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position w:val="1"/>
              </w:rPr>
              <w:t>TP73</w:t>
            </w:r>
          </w:p>
        </w:tc>
        <w:tc>
          <w:tcPr>
            <w:tcW w:w="1234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33" w:right="4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2%</w:t>
            </w:r>
          </w:p>
        </w:tc>
        <w:tc>
          <w:tcPr>
            <w:tcW w:w="1454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543" w:right="5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2%</w:t>
            </w:r>
          </w:p>
        </w:tc>
        <w:tc>
          <w:tcPr>
            <w:tcW w:w="4039" w:type="dxa"/>
            <w:tcBorders>
              <w:top w:val="single" w:sz="2" w:space="0" w:color="CCCCCC"/>
              <w:left w:val="nil"/>
              <w:bottom w:val="single" w:sz="2" w:space="0" w:color="F1F1F1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09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MSP (Esteller et al., 2001); MS-HRM</w:t>
            </w:r>
          </w:p>
          <w:p w:rsidR="00832F25" w:rsidRDefault="00832F25">
            <w:pPr>
              <w:widowControl w:val="0"/>
              <w:autoSpaceDE w:val="0"/>
              <w:autoSpaceDN w:val="0"/>
              <w:adjustRightInd w:val="0"/>
              <w:ind w:left="109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(unpublished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data)</w:t>
            </w:r>
          </w:p>
        </w:tc>
      </w:tr>
      <w:tr w:rsidR="00832F25" w:rsidTr="00832F25">
        <w:trPr>
          <w:trHeight w:hRule="exact" w:val="1510"/>
        </w:trPr>
        <w:tc>
          <w:tcPr>
            <w:tcW w:w="1173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22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position w:val="1"/>
              </w:rPr>
              <w:t>CDH1</w:t>
            </w:r>
          </w:p>
        </w:tc>
        <w:tc>
          <w:tcPr>
            <w:tcW w:w="1234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33" w:right="4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0%</w:t>
            </w:r>
          </w:p>
        </w:tc>
        <w:tc>
          <w:tcPr>
            <w:tcW w:w="1454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82" w:right="4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28%</w:t>
            </w:r>
          </w:p>
        </w:tc>
        <w:tc>
          <w:tcPr>
            <w:tcW w:w="4039" w:type="dxa"/>
            <w:tcBorders>
              <w:top w:val="single" w:sz="2" w:space="0" w:color="F1F1F1"/>
              <w:left w:val="nil"/>
              <w:bottom w:val="single" w:sz="2" w:space="0" w:color="CCCCCC"/>
              <w:right w:val="nil"/>
            </w:tcBorders>
            <w:shd w:val="clear" w:color="auto" w:fill="F1F1F1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09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Pyrosequencing (Feng et al., 2007);</w:t>
            </w:r>
          </w:p>
          <w:p w:rsidR="00832F25" w:rsidRDefault="00832F25">
            <w:pPr>
              <w:widowControl w:val="0"/>
              <w:autoSpaceDE w:val="0"/>
              <w:autoSpaceDN w:val="0"/>
              <w:adjustRightInd w:val="0"/>
              <w:ind w:left="109" w:right="47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MethyLight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(Cho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et al.,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2010); MSP (Esteller et al., 2001; Pr</w:t>
            </w:r>
            <w:r>
              <w:rPr>
                <w:rFonts w:ascii="Calibri" w:hAnsi="Calibri" w:cs="Calibri"/>
                <w:spacing w:val="2"/>
              </w:rPr>
              <w:t>a</w:t>
            </w:r>
            <w:r>
              <w:rPr>
                <w:rFonts w:ascii="Calibri" w:hAnsi="Calibri" w:cs="Calibri"/>
              </w:rPr>
              <w:t>sad et al.,</w:t>
            </w:r>
          </w:p>
          <w:p w:rsidR="00832F25" w:rsidRDefault="00832F25">
            <w:pPr>
              <w:widowControl w:val="0"/>
              <w:autoSpaceDE w:val="0"/>
              <w:autoSpaceDN w:val="0"/>
              <w:adjustRightInd w:val="0"/>
              <w:ind w:left="109" w:right="226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2008; Toyooka et al., 2002); MS-HRM (unpublished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data)</w:t>
            </w:r>
          </w:p>
        </w:tc>
      </w:tr>
      <w:tr w:rsidR="00832F25" w:rsidTr="00832F25">
        <w:trPr>
          <w:trHeight w:hRule="exact" w:val="586"/>
        </w:trPr>
        <w:tc>
          <w:tcPr>
            <w:tcW w:w="1173" w:type="dxa"/>
            <w:tcBorders>
              <w:top w:val="single" w:sz="2" w:space="0" w:color="CCCCCC"/>
              <w:left w:val="nil"/>
              <w:bottom w:val="nil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22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position w:val="1"/>
              </w:rPr>
              <w:t>MGMT</w:t>
            </w:r>
          </w:p>
        </w:tc>
        <w:tc>
          <w:tcPr>
            <w:tcW w:w="1234" w:type="dxa"/>
            <w:tcBorders>
              <w:top w:val="single" w:sz="2" w:space="0" w:color="CCCCCC"/>
              <w:left w:val="nil"/>
              <w:bottom w:val="nil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433" w:right="4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0%</w:t>
            </w:r>
          </w:p>
        </w:tc>
        <w:tc>
          <w:tcPr>
            <w:tcW w:w="1454" w:type="dxa"/>
            <w:tcBorders>
              <w:top w:val="single" w:sz="2" w:space="0" w:color="CCCCCC"/>
              <w:left w:val="nil"/>
              <w:bottom w:val="nil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543" w:right="5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position w:val="1"/>
              </w:rPr>
              <w:t>3%</w:t>
            </w:r>
          </w:p>
        </w:tc>
        <w:tc>
          <w:tcPr>
            <w:tcW w:w="4039" w:type="dxa"/>
            <w:tcBorders>
              <w:top w:val="single" w:sz="2" w:space="0" w:color="CCCCCC"/>
              <w:left w:val="nil"/>
              <w:bottom w:val="nil"/>
              <w:right w:val="nil"/>
            </w:tcBorders>
            <w:shd w:val="clear" w:color="auto" w:fill="CCCCCC"/>
          </w:tcPr>
          <w:p w:rsidR="00832F25" w:rsidRDefault="00832F25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09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MSP (Esteller et al., 2001); MS-HRM</w:t>
            </w:r>
          </w:p>
          <w:p w:rsidR="00832F25" w:rsidRDefault="00832F25">
            <w:pPr>
              <w:widowControl w:val="0"/>
              <w:autoSpaceDE w:val="0"/>
              <w:autoSpaceDN w:val="0"/>
              <w:adjustRightInd w:val="0"/>
              <w:ind w:left="109" w:right="-20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</w:rPr>
              <w:t>(unpublished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data)</w:t>
            </w:r>
          </w:p>
        </w:tc>
        <w:bookmarkStart w:id="0" w:name="_GoBack"/>
        <w:bookmarkEnd w:id="0"/>
      </w:tr>
    </w:tbl>
    <w:p w:rsidR="003B1697" w:rsidRDefault="003B1697"/>
    <w:sectPr w:rsidR="003B1697" w:rsidSect="00971B0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20"/>
  <w:characterSpacingControl w:val="doNotCompress"/>
  <w:savePreviewPicture/>
  <w:compat>
    <w:useFELayout/>
  </w:compat>
  <w:rsids>
    <w:rsidRoot w:val="00832F25"/>
    <w:rsid w:val="002407AC"/>
    <w:rsid w:val="00395CAF"/>
    <w:rsid w:val="003B1697"/>
    <w:rsid w:val="00832F25"/>
    <w:rsid w:val="008C02B9"/>
    <w:rsid w:val="00971B0E"/>
    <w:rsid w:val="00C0068E"/>
    <w:rsid w:val="00F11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7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1443</Characters>
  <Application>Microsoft Office Word</Application>
  <DocSecurity>0</DocSecurity>
  <Lines>12</Lines>
  <Paragraphs>3</Paragraphs>
  <ScaleCrop>false</ScaleCrop>
  <Company>NCHU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Huang</dc:creator>
  <cp:keywords/>
  <dc:description/>
  <cp:lastModifiedBy>edeorico</cp:lastModifiedBy>
  <cp:revision>4</cp:revision>
  <dcterms:created xsi:type="dcterms:W3CDTF">2012-12-21T02:48:00Z</dcterms:created>
  <dcterms:modified xsi:type="dcterms:W3CDTF">2015-10-02T13:20:00Z</dcterms:modified>
</cp:coreProperties>
</file>