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601" w:rsidRPr="00BC2040" w:rsidRDefault="00A17601" w:rsidP="00A17601">
      <w:pPr>
        <w:spacing w:line="360" w:lineRule="auto"/>
        <w:jc w:val="both"/>
        <w:rPr>
          <w:rFonts w:ascii="Times New Roman" w:hAnsi="Times New Roman"/>
          <w:b/>
          <w:sz w:val="24"/>
        </w:rPr>
      </w:pPr>
      <w:r w:rsidRPr="00BC2040">
        <w:rPr>
          <w:rFonts w:ascii="Times New Roman" w:hAnsi="Times New Roman"/>
          <w:b/>
          <w:sz w:val="24"/>
        </w:rPr>
        <w:t>Supplementary Materials and Methods</w:t>
      </w:r>
    </w:p>
    <w:p w:rsidR="00A17601" w:rsidRPr="00BC2040" w:rsidRDefault="00A17601" w:rsidP="00A17601">
      <w:pPr>
        <w:spacing w:before="240" w:after="0" w:line="480" w:lineRule="auto"/>
        <w:ind w:left="720" w:hanging="720"/>
        <w:contextualSpacing/>
        <w:jc w:val="both"/>
        <w:rPr>
          <w:rFonts w:ascii="Times New Roman" w:hAnsi="Times New Roman"/>
          <w:sz w:val="24"/>
        </w:rPr>
      </w:pPr>
      <w:r w:rsidRPr="00BC2040">
        <w:rPr>
          <w:rFonts w:ascii="Times New Roman" w:hAnsi="Times New Roman"/>
          <w:sz w:val="24"/>
        </w:rPr>
        <w:t>1.</w:t>
      </w:r>
      <w:r w:rsidRPr="00BC2040">
        <w:rPr>
          <w:rFonts w:ascii="Times New Roman" w:hAnsi="Times New Roman"/>
          <w:b/>
          <w:sz w:val="24"/>
        </w:rPr>
        <w:t xml:space="preserve"> </w:t>
      </w:r>
      <w:r w:rsidRPr="00BC2040">
        <w:rPr>
          <w:rFonts w:ascii="Times New Roman" w:hAnsi="Times New Roman"/>
          <w:b/>
          <w:sz w:val="24"/>
        </w:rPr>
        <w:tab/>
      </w:r>
      <w:proofErr w:type="spellStart"/>
      <w:proofErr w:type="gramStart"/>
      <w:r w:rsidRPr="00BC2040">
        <w:rPr>
          <w:rFonts w:ascii="Times New Roman" w:hAnsi="Times New Roman"/>
          <w:b/>
          <w:sz w:val="24"/>
        </w:rPr>
        <w:t>siRNA</w:t>
      </w:r>
      <w:proofErr w:type="spellEnd"/>
      <w:proofErr w:type="gramEnd"/>
      <w:r w:rsidRPr="00BC2040">
        <w:rPr>
          <w:rFonts w:ascii="Times New Roman" w:hAnsi="Times New Roman"/>
          <w:b/>
          <w:sz w:val="24"/>
        </w:rPr>
        <w:t xml:space="preserve"> </w:t>
      </w:r>
      <w:proofErr w:type="spellStart"/>
      <w:r w:rsidRPr="00BC2040">
        <w:rPr>
          <w:rFonts w:ascii="Times New Roman" w:hAnsi="Times New Roman"/>
          <w:b/>
          <w:sz w:val="24"/>
        </w:rPr>
        <w:t>transfection</w:t>
      </w:r>
      <w:proofErr w:type="spellEnd"/>
      <w:r w:rsidRPr="00BC2040">
        <w:rPr>
          <w:rFonts w:ascii="Times New Roman" w:hAnsi="Times New Roman"/>
          <w:b/>
          <w:sz w:val="24"/>
        </w:rPr>
        <w:t xml:space="preserve">. </w:t>
      </w:r>
      <w:r w:rsidRPr="00BC2040">
        <w:rPr>
          <w:rFonts w:ascii="Times New Roman" w:hAnsi="Times New Roman"/>
          <w:sz w:val="24"/>
        </w:rPr>
        <w:t xml:space="preserve">HCC1937 and HCC1937/wt BRCA1 cells were treated for 48 h with full length 2.4pM </w:t>
      </w:r>
      <w:proofErr w:type="spellStart"/>
      <w:r w:rsidRPr="00BC2040">
        <w:rPr>
          <w:rFonts w:ascii="Times New Roman" w:hAnsi="Times New Roman"/>
          <w:sz w:val="24"/>
        </w:rPr>
        <w:t>siRNA</w:t>
      </w:r>
      <w:proofErr w:type="spellEnd"/>
      <w:r w:rsidRPr="00BC2040">
        <w:rPr>
          <w:rFonts w:ascii="Times New Roman" w:hAnsi="Times New Roman"/>
          <w:sz w:val="24"/>
        </w:rPr>
        <w:t xml:space="preserve"> for BRCA1 (</w:t>
      </w:r>
      <w:proofErr w:type="spellStart"/>
      <w:r w:rsidRPr="00BC2040">
        <w:rPr>
          <w:rFonts w:ascii="Times New Roman" w:hAnsi="Times New Roman"/>
          <w:sz w:val="24"/>
        </w:rPr>
        <w:t>Eurogentec</w:t>
      </w:r>
      <w:proofErr w:type="spellEnd"/>
      <w:r w:rsidRPr="00BC2040">
        <w:rPr>
          <w:rFonts w:ascii="Times New Roman" w:hAnsi="Times New Roman"/>
          <w:sz w:val="24"/>
        </w:rPr>
        <w:t xml:space="preserve">, </w:t>
      </w:r>
      <w:proofErr w:type="spellStart"/>
      <w:r w:rsidRPr="00BC2040">
        <w:rPr>
          <w:rFonts w:ascii="Times New Roman" w:hAnsi="Times New Roman"/>
          <w:sz w:val="24"/>
        </w:rPr>
        <w:t>Liège</w:t>
      </w:r>
      <w:proofErr w:type="spellEnd"/>
      <w:r w:rsidRPr="00BC2040">
        <w:rPr>
          <w:rFonts w:ascii="Times New Roman" w:hAnsi="Times New Roman"/>
          <w:sz w:val="24"/>
        </w:rPr>
        <w:t>, Belgium) (</w:t>
      </w:r>
      <w:proofErr w:type="spellStart"/>
      <w:r w:rsidRPr="00BC2040">
        <w:rPr>
          <w:rFonts w:ascii="Times New Roman" w:hAnsi="Times New Roman"/>
          <w:sz w:val="24"/>
          <w:shd w:val="clear" w:color="auto" w:fill="FFFFFF"/>
        </w:rPr>
        <w:t>siRNA</w:t>
      </w:r>
      <w:proofErr w:type="spellEnd"/>
      <w:r w:rsidRPr="00BC2040">
        <w:rPr>
          <w:rFonts w:ascii="Times New Roman" w:hAnsi="Times New Roman"/>
          <w:sz w:val="24"/>
          <w:shd w:val="clear" w:color="auto" w:fill="FFFFFF"/>
        </w:rPr>
        <w:t xml:space="preserve"> Sense (+</w:t>
      </w:r>
      <w:proofErr w:type="spellStart"/>
      <w:r w:rsidRPr="00BC2040">
        <w:rPr>
          <w:rFonts w:ascii="Times New Roman" w:hAnsi="Times New Roman"/>
          <w:sz w:val="24"/>
          <w:shd w:val="clear" w:color="auto" w:fill="FFFFFF"/>
        </w:rPr>
        <w:t>dTdT</w:t>
      </w:r>
      <w:proofErr w:type="spellEnd"/>
      <w:r w:rsidRPr="00BC2040">
        <w:rPr>
          <w:rFonts w:ascii="Times New Roman" w:hAnsi="Times New Roman"/>
          <w:sz w:val="24"/>
          <w:shd w:val="clear" w:color="auto" w:fill="FFFFFF"/>
        </w:rPr>
        <w:t>), 19 bases in length, BRCA1 position 1857-1879, GGUCAAGUGAUGAAUAUUA)</w:t>
      </w:r>
      <w:r w:rsidRPr="00BC2040">
        <w:rPr>
          <w:rFonts w:ascii="Times New Roman" w:hAnsi="Times New Roman"/>
          <w:sz w:val="24"/>
        </w:rPr>
        <w:t xml:space="preserve"> as per manufacturer’s instructions followed by treatment with PB for 24 h. Effects on cell proliferation were analyzed by MTT assay as described elsewhere (21). </w:t>
      </w:r>
    </w:p>
    <w:p w:rsidR="00671603" w:rsidRPr="00A17601" w:rsidRDefault="00671603" w:rsidP="00A17601">
      <w:pPr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hAnsi="Times New Roman"/>
          <w:sz w:val="24"/>
          <w:szCs w:val="24"/>
        </w:rPr>
      </w:pPr>
    </w:p>
    <w:sectPr w:rsidR="00671603" w:rsidRPr="00A17601" w:rsidSect="00D21C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71603"/>
    <w:rsid w:val="00045B2A"/>
    <w:rsid w:val="00080E4C"/>
    <w:rsid w:val="000F55B9"/>
    <w:rsid w:val="00183C9B"/>
    <w:rsid w:val="00190D42"/>
    <w:rsid w:val="002474F1"/>
    <w:rsid w:val="002A4EA9"/>
    <w:rsid w:val="002B7124"/>
    <w:rsid w:val="003331F5"/>
    <w:rsid w:val="00385E0C"/>
    <w:rsid w:val="00426786"/>
    <w:rsid w:val="004512E1"/>
    <w:rsid w:val="004F785A"/>
    <w:rsid w:val="005F687D"/>
    <w:rsid w:val="00671603"/>
    <w:rsid w:val="00687C9E"/>
    <w:rsid w:val="007367F0"/>
    <w:rsid w:val="00803228"/>
    <w:rsid w:val="00873072"/>
    <w:rsid w:val="008B6F3B"/>
    <w:rsid w:val="009322DE"/>
    <w:rsid w:val="009B44D0"/>
    <w:rsid w:val="00A17601"/>
    <w:rsid w:val="00B06ACB"/>
    <w:rsid w:val="00B318E3"/>
    <w:rsid w:val="00B64FF1"/>
    <w:rsid w:val="00BC2040"/>
    <w:rsid w:val="00C66E1B"/>
    <w:rsid w:val="00D21C0D"/>
    <w:rsid w:val="00EF6F23"/>
    <w:rsid w:val="00F555ED"/>
    <w:rsid w:val="00F712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1C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1C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Priya Sreenivas</dc:creator>
  <cp:lastModifiedBy>sduran</cp:lastModifiedBy>
  <cp:revision>4</cp:revision>
  <dcterms:created xsi:type="dcterms:W3CDTF">2016-05-19T05:47:00Z</dcterms:created>
  <dcterms:modified xsi:type="dcterms:W3CDTF">2016-05-21T01:05:00Z</dcterms:modified>
</cp:coreProperties>
</file>