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58" w:rsidRPr="00286C75" w:rsidRDefault="00701B58" w:rsidP="00701B58">
      <w:pPr>
        <w:rPr>
          <w:lang w:val="en-US"/>
        </w:rPr>
      </w:pPr>
      <w:bookmarkStart w:id="0" w:name="_GoBack"/>
      <w:bookmarkEnd w:id="0"/>
      <w:r w:rsidRPr="00286C75">
        <w:rPr>
          <w:b/>
          <w:bCs/>
          <w:lang w:val="en-US"/>
        </w:rPr>
        <w:t xml:space="preserve">Table </w:t>
      </w:r>
      <w:r w:rsidR="009A13FF">
        <w:rPr>
          <w:b/>
          <w:bCs/>
          <w:lang w:val="en-US"/>
        </w:rPr>
        <w:t>S</w:t>
      </w:r>
      <w:r>
        <w:rPr>
          <w:b/>
          <w:bCs/>
          <w:lang w:val="en-US"/>
        </w:rPr>
        <w:t>1</w:t>
      </w:r>
      <w:r w:rsidRPr="00286C75">
        <w:rPr>
          <w:b/>
          <w:bCs/>
          <w:lang w:val="en-US"/>
        </w:rPr>
        <w:t xml:space="preserve">.  </w:t>
      </w:r>
      <w:r w:rsidRPr="00586873">
        <w:rPr>
          <w:bCs/>
          <w:lang w:val="en-US"/>
        </w:rPr>
        <w:t>Grouping of complications</w:t>
      </w:r>
      <w:r w:rsidRPr="00286C75">
        <w:rPr>
          <w:b/>
          <w:bCs/>
          <w:lang w:val="en-US"/>
        </w:rPr>
        <w:t xml:space="preserve"> </w:t>
      </w:r>
    </w:p>
    <w:tbl>
      <w:tblPr>
        <w:tblStyle w:val="LightShading"/>
        <w:tblW w:w="0" w:type="auto"/>
        <w:jc w:val="center"/>
        <w:tblInd w:w="0" w:type="dxa"/>
        <w:tblLook w:val="04A0"/>
      </w:tblPr>
      <w:tblGrid>
        <w:gridCol w:w="6024"/>
        <w:gridCol w:w="2620"/>
      </w:tblGrid>
      <w:tr w:rsidR="00701B58" w:rsidRPr="008D6F0A" w:rsidTr="007724FC">
        <w:trPr>
          <w:cnfStyle w:val="100000000000"/>
          <w:jc w:val="center"/>
        </w:trPr>
        <w:tc>
          <w:tcPr>
            <w:cnfStyle w:val="001000000000"/>
            <w:tcW w:w="6024" w:type="dxa"/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lang w:val="en-US"/>
              </w:rPr>
            </w:pPr>
          </w:p>
        </w:tc>
        <w:tc>
          <w:tcPr>
            <w:tcW w:w="2620" w:type="dxa"/>
            <w:shd w:val="clear" w:color="auto" w:fill="auto"/>
            <w:hideMark/>
          </w:tcPr>
          <w:p w:rsidR="00701B58" w:rsidRPr="00286C75" w:rsidRDefault="00701B58" w:rsidP="007724FC">
            <w:pPr>
              <w:jc w:val="center"/>
              <w:cnfStyle w:val="100000000000"/>
              <w:rPr>
                <w:rFonts w:cs="Times New Roman"/>
                <w:lang w:val="en-US"/>
              </w:rPr>
            </w:pPr>
          </w:p>
        </w:tc>
      </w:tr>
      <w:tr w:rsidR="00701B58" w:rsidRPr="008D6F0A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lang w:val="en-US"/>
              </w:rPr>
            </w:pPr>
            <w:r w:rsidRPr="00286C75">
              <w:rPr>
                <w:rFonts w:cs="Times New Roman"/>
                <w:lang w:val="en-US"/>
              </w:rPr>
              <w:t>Total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8D6F0A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b/>
                <w:lang w:val="en-US"/>
              </w:rPr>
            </w:pPr>
          </w:p>
        </w:tc>
      </w:tr>
      <w:tr w:rsidR="00701B58" w:rsidRPr="008D6F0A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u w:val="single"/>
                <w:lang w:val="en-US"/>
              </w:rPr>
            </w:pPr>
            <w:r w:rsidRPr="00286C75">
              <w:rPr>
                <w:rFonts w:cs="Times New Roman"/>
                <w:b w:val="0"/>
                <w:u w:val="single"/>
                <w:lang w:val="en-US"/>
              </w:rPr>
              <w:t xml:space="preserve">Infectious 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8D6F0A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Pneumonia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8D6F0A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Infection because of catheter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Urinary tract infection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Septic shock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912787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Localized intra-abdominal infection (abscess)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Diffused intra-abdominal infection (peritonitis)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912787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Fever of unknown origin (FUO)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912787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Infection of surgical superficial location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912787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Infection of deep surgical location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Respiratory tract infection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u w:val="single"/>
                <w:lang w:val="en-US"/>
              </w:rPr>
            </w:pPr>
            <w:r>
              <w:rPr>
                <w:rFonts w:cs="Times New Roman"/>
                <w:b w:val="0"/>
                <w:u w:val="single"/>
                <w:lang w:val="en-US"/>
              </w:rPr>
              <w:t>H</w:t>
            </w:r>
            <w:r w:rsidRPr="00055197">
              <w:rPr>
                <w:rFonts w:cs="Times New Roman"/>
                <w:b w:val="0"/>
                <w:u w:val="single"/>
                <w:lang w:val="en-US"/>
              </w:rPr>
              <w:t xml:space="preserve">ematological </w:t>
            </w:r>
            <w:r>
              <w:rPr>
                <w:rFonts w:cs="Times New Roman"/>
                <w:b w:val="0"/>
                <w:u w:val="single"/>
                <w:lang w:val="en-US"/>
              </w:rPr>
              <w:t>(</w:t>
            </w:r>
            <w:r w:rsidRPr="00286C75">
              <w:rPr>
                <w:rFonts w:cs="Times New Roman"/>
                <w:b w:val="0"/>
                <w:u w:val="single"/>
                <w:lang w:val="en-US"/>
              </w:rPr>
              <w:t>Haemorrhagical /Thrombosis/Embolism</w:t>
            </w:r>
            <w:r>
              <w:rPr>
                <w:rFonts w:cs="Times New Roman"/>
                <w:b w:val="0"/>
                <w:u w:val="single"/>
                <w:lang w:val="en-US"/>
              </w:rPr>
              <w:t>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Haemorrhage of the injury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Upper gastrointestinal (GI) bleeding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912787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Internal bleeding of other organs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>
              <w:rPr>
                <w:rFonts w:cs="Times New Roman"/>
                <w:b w:val="0"/>
                <w:lang w:val="en-US"/>
              </w:rPr>
              <w:t xml:space="preserve">   - H</w:t>
            </w:r>
            <w:r w:rsidRPr="00286C75">
              <w:rPr>
                <w:rFonts w:cs="Times New Roman"/>
                <w:b w:val="0"/>
                <w:lang w:val="en-US"/>
              </w:rPr>
              <w:t>emoperitoneum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Ictus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Deep vein thrombosis (DVT)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Pulmonary thromboembolism (PTE)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055197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>
              <w:rPr>
                <w:rFonts w:cs="Times New Roman"/>
                <w:b w:val="0"/>
                <w:lang w:val="en-US"/>
              </w:rPr>
              <w:t xml:space="preserve">  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u w:val="single"/>
                <w:lang w:val="en-US"/>
              </w:rPr>
            </w:pPr>
            <w:r w:rsidRPr="00286C75">
              <w:rPr>
                <w:rFonts w:cs="Times New Roman"/>
                <w:b w:val="0"/>
                <w:u w:val="single"/>
                <w:lang w:val="en-US"/>
              </w:rPr>
              <w:t>Surgical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Seroma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Dehiscence of suture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Anastomotic dehiscence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Evisceration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Urine retention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Necrosis (abdominal wall)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Enterocutaneous fistula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Biliary peritonitis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u w:val="single"/>
                <w:lang w:val="en-US"/>
              </w:rPr>
            </w:pPr>
            <w:r w:rsidRPr="00286C75">
              <w:rPr>
                <w:rFonts w:cs="Times New Roman"/>
                <w:b w:val="0"/>
                <w:u w:val="single"/>
                <w:lang w:val="en-US"/>
              </w:rPr>
              <w:t>Medical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lang w:val="en-US"/>
              </w:rPr>
            </w:pPr>
          </w:p>
        </w:tc>
      </w:tr>
      <w:tr w:rsidR="00701B58" w:rsidRPr="00912787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Heart failure</w:t>
            </w:r>
          </w:p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>
              <w:rPr>
                <w:rFonts w:cs="Times New Roman"/>
                <w:b w:val="0"/>
                <w:lang w:val="en-US"/>
              </w:rPr>
              <w:t xml:space="preserve">   - A</w:t>
            </w:r>
            <w:r w:rsidRPr="00286C75">
              <w:rPr>
                <w:rFonts w:cs="Times New Roman"/>
                <w:b w:val="0"/>
                <w:lang w:val="en-US"/>
              </w:rPr>
              <w:t>ng</w:t>
            </w:r>
            <w:r>
              <w:rPr>
                <w:rFonts w:cs="Times New Roman"/>
                <w:b w:val="0"/>
                <w:lang w:val="en-US"/>
              </w:rPr>
              <w:t>ina</w:t>
            </w:r>
            <w:r w:rsidRPr="00286C75">
              <w:rPr>
                <w:rFonts w:cs="Times New Roman"/>
                <w:b w:val="0"/>
                <w:lang w:val="en-US"/>
              </w:rPr>
              <w:t xml:space="preserve"> or acute myocardial infarction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Kidney failure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Respiratory insufficiency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Liver failure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Neurological alterations (except ICTUS)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Hypotension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Hypocalcemia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Anaemia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Intestinal obstruction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Paralytic ileus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</w:p>
        </w:tc>
        <w:tc>
          <w:tcPr>
            <w:tcW w:w="26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</w:tbl>
    <w:p w:rsidR="00701B58" w:rsidRPr="00286C75" w:rsidRDefault="00701B58" w:rsidP="00701B58">
      <w:pPr>
        <w:rPr>
          <w:lang w:val="en-US"/>
        </w:rPr>
      </w:pPr>
    </w:p>
    <w:p w:rsidR="00701B58" w:rsidRPr="00286C75" w:rsidRDefault="00701B58" w:rsidP="00701B58">
      <w:pPr>
        <w:rPr>
          <w:lang w:val="en-US"/>
        </w:rPr>
      </w:pPr>
      <w:r w:rsidRPr="00286C75">
        <w:rPr>
          <w:lang w:val="en-US"/>
        </w:rPr>
        <w:br w:type="page"/>
      </w:r>
    </w:p>
    <w:p w:rsidR="00701B58" w:rsidRPr="00286C75" w:rsidRDefault="00701B58" w:rsidP="00701B58">
      <w:pPr>
        <w:rPr>
          <w:rFonts w:cs="Times New Roman"/>
          <w:lang w:val="en-US"/>
        </w:rPr>
      </w:pPr>
      <w:r w:rsidRPr="00286C75">
        <w:rPr>
          <w:rFonts w:cs="Times New Roman"/>
          <w:b/>
          <w:lang w:val="en-US"/>
        </w:rPr>
        <w:lastRenderedPageBreak/>
        <w:t xml:space="preserve">Table </w:t>
      </w:r>
      <w:r w:rsidR="009A13FF">
        <w:rPr>
          <w:rFonts w:cs="Times New Roman"/>
          <w:b/>
          <w:lang w:val="en-US"/>
        </w:rPr>
        <w:t>S</w:t>
      </w:r>
      <w:r>
        <w:rPr>
          <w:rFonts w:cs="Times New Roman"/>
          <w:b/>
          <w:lang w:val="en-US"/>
        </w:rPr>
        <w:t>2</w:t>
      </w:r>
      <w:r w:rsidRPr="00286C75">
        <w:rPr>
          <w:rFonts w:cs="Times New Roman"/>
          <w:lang w:val="en-US"/>
        </w:rPr>
        <w:t>. Chemotherapy information at the beginning of the study</w:t>
      </w:r>
    </w:p>
    <w:tbl>
      <w:tblPr>
        <w:tblStyle w:val="LightShading"/>
        <w:tblW w:w="0" w:type="auto"/>
        <w:jc w:val="center"/>
        <w:tblInd w:w="0" w:type="dxa"/>
        <w:tblLook w:val="04A0"/>
      </w:tblPr>
      <w:tblGrid>
        <w:gridCol w:w="6024"/>
        <w:gridCol w:w="2620"/>
      </w:tblGrid>
      <w:tr w:rsidR="00701B58" w:rsidRPr="00912787" w:rsidTr="007724FC">
        <w:trPr>
          <w:cnfStyle w:val="100000000000"/>
          <w:jc w:val="center"/>
        </w:trPr>
        <w:tc>
          <w:tcPr>
            <w:cnfStyle w:val="001000000000"/>
            <w:tcW w:w="6024" w:type="dxa"/>
            <w:shd w:val="clear" w:color="auto" w:fill="auto"/>
          </w:tcPr>
          <w:p w:rsidR="00701B58" w:rsidRPr="00286C75" w:rsidRDefault="00701B58" w:rsidP="007724FC">
            <w:pPr>
              <w:rPr>
                <w:rFonts w:cs="Times New Roman"/>
                <w:lang w:val="en-US"/>
              </w:rPr>
            </w:pPr>
          </w:p>
        </w:tc>
        <w:tc>
          <w:tcPr>
            <w:tcW w:w="2620" w:type="dxa"/>
            <w:shd w:val="clear" w:color="auto" w:fill="auto"/>
            <w:hideMark/>
          </w:tcPr>
          <w:p w:rsidR="00701B58" w:rsidRPr="00286C75" w:rsidRDefault="00701B58" w:rsidP="007724FC">
            <w:pPr>
              <w:jc w:val="center"/>
              <w:cnfStyle w:val="1000000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>Combinations of drugs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Folfox only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Folfiri only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Capox/Xelox only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Fluorouracil only (FL)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912787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Fluorouracil -</w:t>
            </w:r>
            <w:r w:rsidRPr="00286C75">
              <w:rPr>
                <w:lang w:val="en-US"/>
              </w:rPr>
              <w:t xml:space="preserve"> </w:t>
            </w:r>
            <w:r w:rsidRPr="00286C75">
              <w:rPr>
                <w:rFonts w:cs="Times New Roman"/>
                <w:b w:val="0"/>
                <w:lang w:val="en-US"/>
              </w:rPr>
              <w:t>Leucovorin only (FL-LV)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Monotherapy only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Folfox + Folfiri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Folfox + Capox/Xelox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Folfox + FL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Folfox + FL-LV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Folfox + monotherapy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Folfiri + Capox/Xelox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Folfiri + FL-LV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Capox/Xelox + FL-LV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Capox/Xelox + monotherapy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Folfox +  Folfiri + monotherapy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055197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794441" w:rsidRDefault="00701B58" w:rsidP="007724FC">
            <w:pPr>
              <w:rPr>
                <w:rFonts w:cs="Times New Roman"/>
                <w:b w:val="0"/>
              </w:rPr>
            </w:pPr>
            <w:r w:rsidRPr="00794441">
              <w:rPr>
                <w:rFonts w:cs="Times New Roman"/>
                <w:b w:val="0"/>
              </w:rPr>
              <w:t xml:space="preserve">   - Folfox + Capox/Xelox + FL-LV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794441" w:rsidRDefault="00701B58" w:rsidP="007724FC">
            <w:pPr>
              <w:jc w:val="center"/>
              <w:cnfStyle w:val="000000000000"/>
              <w:rPr>
                <w:rFonts w:cs="Times New Roman"/>
              </w:rPr>
            </w:pPr>
          </w:p>
        </w:tc>
      </w:tr>
      <w:tr w:rsidR="00701B58" w:rsidRPr="00286C75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794441">
              <w:rPr>
                <w:rFonts w:cs="Times New Roman"/>
                <w:b w:val="0"/>
              </w:rPr>
              <w:t xml:space="preserve">   </w:t>
            </w:r>
            <w:r w:rsidRPr="00286C75">
              <w:rPr>
                <w:rFonts w:cs="Times New Roman"/>
                <w:b w:val="0"/>
                <w:lang w:val="en-US"/>
              </w:rPr>
              <w:t>- Folfox + Capox/Xelox + monotherapy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100000"/>
              <w:rPr>
                <w:rFonts w:cs="Times New Roman"/>
                <w:lang w:val="en-US"/>
              </w:rPr>
            </w:pPr>
          </w:p>
        </w:tc>
      </w:tr>
      <w:tr w:rsidR="00701B58" w:rsidRPr="00286C75" w:rsidTr="007724FC">
        <w:trPr>
          <w:jc w:val="center"/>
        </w:trPr>
        <w:tc>
          <w:tcPr>
            <w:cnfStyle w:val="001000000000"/>
            <w:tcW w:w="6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701B58" w:rsidRPr="00286C75" w:rsidRDefault="00701B58" w:rsidP="007724FC">
            <w:pPr>
              <w:rPr>
                <w:rFonts w:cs="Times New Roman"/>
                <w:b w:val="0"/>
                <w:lang w:val="en-US"/>
              </w:rPr>
            </w:pPr>
            <w:r w:rsidRPr="00286C75">
              <w:rPr>
                <w:rFonts w:cs="Times New Roman"/>
                <w:b w:val="0"/>
                <w:lang w:val="en-US"/>
              </w:rPr>
              <w:t xml:space="preserve">   - Folfox + FL + monotherapy</w:t>
            </w:r>
          </w:p>
        </w:tc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</w:tcPr>
          <w:p w:rsidR="00701B58" w:rsidRPr="00286C75" w:rsidRDefault="00701B58" w:rsidP="007724FC">
            <w:pPr>
              <w:jc w:val="center"/>
              <w:cnfStyle w:val="000000000000"/>
              <w:rPr>
                <w:rFonts w:cs="Times New Roman"/>
                <w:lang w:val="en-US"/>
              </w:rPr>
            </w:pPr>
          </w:p>
        </w:tc>
      </w:tr>
      <w:tr w:rsidR="00701B58" w:rsidRPr="00055197" w:rsidTr="007724FC">
        <w:trPr>
          <w:cnfStyle w:val="000000100000"/>
          <w:jc w:val="center"/>
        </w:trPr>
        <w:tc>
          <w:tcPr>
            <w:cnfStyle w:val="001000000000"/>
            <w:tcW w:w="6024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701B58" w:rsidRPr="00794441" w:rsidRDefault="00701B58" w:rsidP="007724FC">
            <w:pPr>
              <w:rPr>
                <w:rFonts w:cs="Times New Roman"/>
                <w:b w:val="0"/>
              </w:rPr>
            </w:pPr>
            <w:r w:rsidRPr="00794441">
              <w:rPr>
                <w:rFonts w:cs="Times New Roman"/>
                <w:b w:val="0"/>
              </w:rPr>
              <w:t xml:space="preserve">   - Folfox + Folfiri + Capox/Xelox + FL-LV</w:t>
            </w:r>
          </w:p>
        </w:tc>
        <w:tc>
          <w:tcPr>
            <w:tcW w:w="26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01B58" w:rsidRPr="00794441" w:rsidRDefault="00701B58" w:rsidP="007724FC">
            <w:pPr>
              <w:jc w:val="center"/>
              <w:cnfStyle w:val="000000100000"/>
              <w:rPr>
                <w:rFonts w:cs="Times New Roman"/>
              </w:rPr>
            </w:pPr>
          </w:p>
        </w:tc>
      </w:tr>
    </w:tbl>
    <w:p w:rsidR="00701B58" w:rsidRPr="00794441" w:rsidRDefault="00701B58" w:rsidP="00701B58">
      <w:pPr>
        <w:rPr>
          <w:rFonts w:cs="Times New Roman"/>
          <w:sz w:val="18"/>
          <w:szCs w:val="18"/>
        </w:rPr>
      </w:pPr>
    </w:p>
    <w:p w:rsidR="00701B58" w:rsidRPr="00794441" w:rsidRDefault="00701B58" w:rsidP="00701B58">
      <w:pPr>
        <w:rPr>
          <w:rFonts w:cs="Times New Roman"/>
          <w:sz w:val="18"/>
          <w:szCs w:val="18"/>
        </w:rPr>
      </w:pPr>
    </w:p>
    <w:p w:rsidR="00701B58" w:rsidRPr="00794441" w:rsidRDefault="00701B58" w:rsidP="00701B58"/>
    <w:p w:rsidR="00BF711D" w:rsidRDefault="00BF711D"/>
    <w:sectPr w:rsidR="00BF711D" w:rsidSect="003C18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docVars>
    <w:docVar w:name="dgnword-docGUID" w:val="{CF28E059-A599-445A-8801-767B189A8EEB}"/>
    <w:docVar w:name="dgnword-eventsink" w:val="85210168"/>
  </w:docVars>
  <w:rsids>
    <w:rsidRoot w:val="00701B58"/>
    <w:rsid w:val="003C188F"/>
    <w:rsid w:val="00701B58"/>
    <w:rsid w:val="008349AF"/>
    <w:rsid w:val="009A13FF"/>
    <w:rsid w:val="00BF711D"/>
    <w:rsid w:val="00DD0328"/>
    <w:rsid w:val="00F9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701B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B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">
    <w:name w:val="Light Shading"/>
    <w:basedOn w:val="Tablanormal"/>
    <w:uiPriority w:val="60"/>
    <w:rsid w:val="00701B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MARIA QUINTANA LOPEZ</dc:creator>
  <cp:lastModifiedBy>clastimoso</cp:lastModifiedBy>
  <cp:revision>2</cp:revision>
  <dcterms:created xsi:type="dcterms:W3CDTF">2016-02-29T12:04:00Z</dcterms:created>
  <dcterms:modified xsi:type="dcterms:W3CDTF">2016-07-02T03:35:00Z</dcterms:modified>
</cp:coreProperties>
</file>