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16589" w14:textId="77777777" w:rsidR="00404266" w:rsidRPr="00AA54A5" w:rsidRDefault="00BE572A" w:rsidP="00BE572A">
      <w:pPr>
        <w:pStyle w:val="body"/>
        <w:rPr>
          <w:color w:val="000000" w:themeColor="text1"/>
          <w:sz w:val="20"/>
          <w:szCs w:val="20"/>
        </w:rPr>
      </w:pPr>
      <w:r w:rsidRPr="00AA54A5">
        <w:rPr>
          <w:b/>
          <w:color w:val="000000" w:themeColor="text1"/>
          <w:sz w:val="20"/>
          <w:szCs w:val="20"/>
        </w:rPr>
        <w:t>Additional Table 1</w:t>
      </w:r>
      <w:r w:rsidRPr="00AA54A5">
        <w:rPr>
          <w:color w:val="000000" w:themeColor="text1"/>
          <w:sz w:val="20"/>
          <w:szCs w:val="20"/>
        </w:rPr>
        <w:t xml:space="preserve"> Details of adenocarcinoma grading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3"/>
        <w:gridCol w:w="5172"/>
        <w:gridCol w:w="1411"/>
        <w:gridCol w:w="1594"/>
      </w:tblGrid>
      <w:tr w:rsidR="00C20F45" w:rsidRPr="00AA54A5" w14:paraId="1906A1A5" w14:textId="77777777" w:rsidTr="00BE572A">
        <w:tc>
          <w:tcPr>
            <w:tcW w:w="0" w:type="auto"/>
          </w:tcPr>
          <w:p w14:paraId="03238919" w14:textId="3E758D24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Grading method</w:t>
            </w:r>
          </w:p>
        </w:tc>
        <w:tc>
          <w:tcPr>
            <w:tcW w:w="0" w:type="auto"/>
          </w:tcPr>
          <w:p w14:paraId="054F3BFC" w14:textId="3EB48362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Criteria</w:t>
            </w:r>
          </w:p>
        </w:tc>
        <w:tc>
          <w:tcPr>
            <w:tcW w:w="0" w:type="auto"/>
          </w:tcPr>
          <w:p w14:paraId="4BBCD2FE" w14:textId="1B060265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ROS1 rearrangement</w:t>
            </w:r>
          </w:p>
        </w:tc>
        <w:tc>
          <w:tcPr>
            <w:tcW w:w="0" w:type="auto"/>
          </w:tcPr>
          <w:p w14:paraId="25F73DB2" w14:textId="5096A645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ROS1 non-rearrangement</w:t>
            </w:r>
          </w:p>
        </w:tc>
      </w:tr>
      <w:tr w:rsidR="00C20F45" w:rsidRPr="00AA54A5" w14:paraId="74C9222B" w14:textId="77777777" w:rsidTr="00BE572A">
        <w:tc>
          <w:tcPr>
            <w:tcW w:w="0" w:type="auto"/>
          </w:tcPr>
          <w:p w14:paraId="24C0F83C" w14:textId="387A7FE5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Sica grading</w:t>
            </w:r>
          </w:p>
        </w:tc>
        <w:tc>
          <w:tcPr>
            <w:tcW w:w="0" w:type="auto"/>
          </w:tcPr>
          <w:p w14:paraId="19FFE9DE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09BBBBD9" w14:textId="0314B04E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02223147" w14:textId="1075679D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</w:p>
        </w:tc>
      </w:tr>
      <w:tr w:rsidR="00C20F45" w:rsidRPr="00AA54A5" w14:paraId="6ABC61F4" w14:textId="77777777" w:rsidTr="00BE572A">
        <w:tc>
          <w:tcPr>
            <w:tcW w:w="0" w:type="auto"/>
          </w:tcPr>
          <w:p w14:paraId="6330C05C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Score 2</w:t>
            </w:r>
          </w:p>
        </w:tc>
        <w:tc>
          <w:tcPr>
            <w:tcW w:w="0" w:type="auto"/>
          </w:tcPr>
          <w:p w14:paraId="60507A30" w14:textId="4E894CAE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AIS or MIA</w:t>
            </w:r>
            <w:r w:rsidR="00093B40" w:rsidRPr="00AA54A5">
              <w:rPr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0A6C6B71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C628605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C20F45" w:rsidRPr="00AA54A5" w14:paraId="1FF11670" w14:textId="77777777" w:rsidTr="00BE572A">
        <w:tc>
          <w:tcPr>
            <w:tcW w:w="0" w:type="auto"/>
          </w:tcPr>
          <w:p w14:paraId="5806BC75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Score 3</w:t>
            </w:r>
          </w:p>
        </w:tc>
        <w:tc>
          <w:tcPr>
            <w:tcW w:w="0" w:type="auto"/>
          </w:tcPr>
          <w:p w14:paraId="1578C726" w14:textId="3371C6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Mix subtype, well differentiate lepidic</w:t>
            </w:r>
            <w:r w:rsidR="002E1EAE" w:rsidRPr="002E1EAE">
              <w:rPr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AA54A5">
              <w:rPr>
                <w:color w:val="000000" w:themeColor="text1"/>
                <w:sz w:val="16"/>
                <w:szCs w:val="16"/>
              </w:rPr>
              <w:t>, acinar or papillary pattern</w:t>
            </w:r>
          </w:p>
        </w:tc>
        <w:tc>
          <w:tcPr>
            <w:tcW w:w="0" w:type="auto"/>
          </w:tcPr>
          <w:p w14:paraId="557CACD5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2AFF51C7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45</w:t>
            </w:r>
          </w:p>
        </w:tc>
      </w:tr>
      <w:tr w:rsidR="00C20F45" w:rsidRPr="00AA54A5" w14:paraId="750632BD" w14:textId="77777777" w:rsidTr="00BE572A">
        <w:tc>
          <w:tcPr>
            <w:tcW w:w="0" w:type="auto"/>
          </w:tcPr>
          <w:p w14:paraId="7EF683AD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Score 4</w:t>
            </w:r>
          </w:p>
        </w:tc>
        <w:tc>
          <w:tcPr>
            <w:tcW w:w="0" w:type="auto"/>
          </w:tcPr>
          <w:p w14:paraId="52267E81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 xml:space="preserve">Mix subtype, acinar, papillary or lepidic pattern with solid or micropapillary pattern; </w:t>
            </w:r>
            <w:r w:rsidRPr="00AA54A5">
              <w:rPr>
                <w:rFonts w:ascii="Times" w:hAnsi="Times" w:cs="Times"/>
                <w:color w:val="000000" w:themeColor="text1"/>
                <w:kern w:val="0"/>
                <w:sz w:val="16"/>
                <w:szCs w:val="16"/>
              </w:rPr>
              <w:t>Pure acinar or pure papillary</w:t>
            </w:r>
          </w:p>
        </w:tc>
        <w:tc>
          <w:tcPr>
            <w:tcW w:w="0" w:type="auto"/>
          </w:tcPr>
          <w:p w14:paraId="29D0020B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BEB180B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47</w:t>
            </w:r>
          </w:p>
        </w:tc>
      </w:tr>
      <w:tr w:rsidR="00C20F45" w:rsidRPr="00AA54A5" w14:paraId="5A01A8E3" w14:textId="77777777" w:rsidTr="00BE572A">
        <w:tc>
          <w:tcPr>
            <w:tcW w:w="0" w:type="auto"/>
          </w:tcPr>
          <w:p w14:paraId="09D56736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Score 5</w:t>
            </w:r>
          </w:p>
        </w:tc>
        <w:tc>
          <w:tcPr>
            <w:tcW w:w="0" w:type="auto"/>
          </w:tcPr>
          <w:p w14:paraId="5AE5417B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Mix subtype, poorly differentiated with acinar/papillary and micropapillary or solid patterns</w:t>
            </w:r>
          </w:p>
        </w:tc>
        <w:tc>
          <w:tcPr>
            <w:tcW w:w="0" w:type="auto"/>
          </w:tcPr>
          <w:p w14:paraId="280DF4BC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A729D19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65</w:t>
            </w:r>
          </w:p>
        </w:tc>
      </w:tr>
      <w:tr w:rsidR="00C20F45" w:rsidRPr="00AA54A5" w14:paraId="2FB166BC" w14:textId="77777777" w:rsidTr="00BE572A">
        <w:tc>
          <w:tcPr>
            <w:tcW w:w="0" w:type="auto"/>
          </w:tcPr>
          <w:p w14:paraId="0CB90062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Score 6</w:t>
            </w:r>
          </w:p>
        </w:tc>
        <w:tc>
          <w:tcPr>
            <w:tcW w:w="0" w:type="auto"/>
          </w:tcPr>
          <w:p w14:paraId="30506301" w14:textId="77777777" w:rsidR="00C20F45" w:rsidRPr="00AA54A5" w:rsidRDefault="00C20F45" w:rsidP="00BC4FB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rFonts w:ascii="Times" w:hAnsi="Times" w:cs="Times"/>
                <w:color w:val="000000" w:themeColor="text1"/>
                <w:kern w:val="0"/>
                <w:sz w:val="16"/>
                <w:szCs w:val="16"/>
              </w:rPr>
            </w:pPr>
            <w:r w:rsidRPr="00AA54A5">
              <w:rPr>
                <w:rFonts w:ascii="Times" w:hAnsi="Times" w:cs="Times"/>
                <w:color w:val="000000" w:themeColor="text1"/>
                <w:kern w:val="0"/>
                <w:sz w:val="16"/>
                <w:szCs w:val="16"/>
              </w:rPr>
              <w:t>Mixed subtype, poorly differentiated with predominant solid and micropapillary patterns. Pure solid</w:t>
            </w:r>
          </w:p>
          <w:p w14:paraId="16F2E812" w14:textId="77777777" w:rsidR="00C20F45" w:rsidRPr="00AA54A5" w:rsidRDefault="00C20F45" w:rsidP="00BC4FB0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rFonts w:ascii="Times" w:hAnsi="Times" w:cs="Times"/>
                <w:color w:val="000000" w:themeColor="text1"/>
                <w:kern w:val="0"/>
                <w:sz w:val="16"/>
                <w:szCs w:val="16"/>
              </w:rPr>
              <w:t>or pure micropapillary</w:t>
            </w:r>
          </w:p>
        </w:tc>
        <w:tc>
          <w:tcPr>
            <w:tcW w:w="0" w:type="auto"/>
          </w:tcPr>
          <w:p w14:paraId="7FBDB1AF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B567ACA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C20F45" w:rsidRPr="00AA54A5" w14:paraId="29990BE0" w14:textId="77777777" w:rsidTr="00BE572A">
        <w:tc>
          <w:tcPr>
            <w:tcW w:w="0" w:type="auto"/>
          </w:tcPr>
          <w:p w14:paraId="43BEFB7C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WHO grading</w:t>
            </w:r>
          </w:p>
        </w:tc>
        <w:tc>
          <w:tcPr>
            <w:tcW w:w="0" w:type="auto"/>
          </w:tcPr>
          <w:p w14:paraId="10C29EF0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5581D54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069E592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</w:p>
        </w:tc>
      </w:tr>
      <w:tr w:rsidR="00C20F45" w:rsidRPr="00AA54A5" w14:paraId="4D75AC06" w14:textId="77777777" w:rsidTr="00BE572A">
        <w:tc>
          <w:tcPr>
            <w:tcW w:w="0" w:type="auto"/>
          </w:tcPr>
          <w:p w14:paraId="6F695156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0" w:type="auto"/>
          </w:tcPr>
          <w:p w14:paraId="36623C97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lepidic adenocarcinoma</w:t>
            </w:r>
          </w:p>
        </w:tc>
        <w:tc>
          <w:tcPr>
            <w:tcW w:w="0" w:type="auto"/>
          </w:tcPr>
          <w:p w14:paraId="71BB3981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69A0319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16</w:t>
            </w:r>
          </w:p>
        </w:tc>
      </w:tr>
      <w:tr w:rsidR="00C20F45" w:rsidRPr="00AA54A5" w14:paraId="4A2396DB" w14:textId="77777777" w:rsidTr="00BE572A">
        <w:tc>
          <w:tcPr>
            <w:tcW w:w="0" w:type="auto"/>
          </w:tcPr>
          <w:p w14:paraId="36554922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Intermediate</w:t>
            </w:r>
          </w:p>
        </w:tc>
        <w:tc>
          <w:tcPr>
            <w:tcW w:w="0" w:type="auto"/>
          </w:tcPr>
          <w:p w14:paraId="00E366DC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acinar or papillary adenocarcinoma</w:t>
            </w:r>
          </w:p>
        </w:tc>
        <w:tc>
          <w:tcPr>
            <w:tcW w:w="0" w:type="auto"/>
          </w:tcPr>
          <w:p w14:paraId="2EEDC0AB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7205232E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121</w:t>
            </w:r>
          </w:p>
        </w:tc>
      </w:tr>
      <w:tr w:rsidR="00C20F45" w:rsidRPr="00AA54A5" w14:paraId="7638EC22" w14:textId="77777777" w:rsidTr="00BE572A">
        <w:tc>
          <w:tcPr>
            <w:tcW w:w="0" w:type="auto"/>
          </w:tcPr>
          <w:p w14:paraId="525F2A72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High</w:t>
            </w:r>
          </w:p>
        </w:tc>
        <w:tc>
          <w:tcPr>
            <w:tcW w:w="0" w:type="auto"/>
          </w:tcPr>
          <w:p w14:paraId="27EC3DEB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solid or micropapillary adenocarcinoma</w:t>
            </w:r>
          </w:p>
        </w:tc>
        <w:tc>
          <w:tcPr>
            <w:tcW w:w="0" w:type="auto"/>
          </w:tcPr>
          <w:p w14:paraId="2D10266E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F9F1D6E" w14:textId="77777777" w:rsidR="00C20F45" w:rsidRPr="00AA54A5" w:rsidRDefault="00C20F45" w:rsidP="00BE572A">
            <w:pPr>
              <w:pStyle w:val="body"/>
              <w:rPr>
                <w:color w:val="000000" w:themeColor="text1"/>
                <w:sz w:val="16"/>
                <w:szCs w:val="16"/>
              </w:rPr>
            </w:pPr>
            <w:r w:rsidRPr="00AA54A5">
              <w:rPr>
                <w:color w:val="000000" w:themeColor="text1"/>
                <w:sz w:val="16"/>
                <w:szCs w:val="16"/>
              </w:rPr>
              <w:t>36</w:t>
            </w:r>
          </w:p>
        </w:tc>
      </w:tr>
    </w:tbl>
    <w:p w14:paraId="00C7D921" w14:textId="1BCA4CFE" w:rsidR="00BE572A" w:rsidRDefault="00AF5EE9" w:rsidP="00BE572A">
      <w:pPr>
        <w:pStyle w:val="body"/>
        <w:rPr>
          <w:color w:val="000000" w:themeColor="text1"/>
          <w:sz w:val="16"/>
          <w:szCs w:val="16"/>
        </w:rPr>
      </w:pPr>
      <w:r w:rsidRPr="00AA54A5">
        <w:rPr>
          <w:color w:val="000000" w:themeColor="text1"/>
          <w:sz w:val="16"/>
          <w:szCs w:val="16"/>
          <w:vertAlign w:val="superscript"/>
        </w:rPr>
        <w:t>a</w:t>
      </w:r>
      <w:r w:rsidR="00AC69B8">
        <w:rPr>
          <w:color w:val="000000" w:themeColor="text1"/>
          <w:sz w:val="16"/>
          <w:szCs w:val="16"/>
        </w:rPr>
        <w:t xml:space="preserve">The </w:t>
      </w:r>
      <w:r w:rsidRPr="00AA54A5">
        <w:rPr>
          <w:color w:val="000000" w:themeColor="text1"/>
          <w:sz w:val="16"/>
          <w:szCs w:val="16"/>
        </w:rPr>
        <w:t xml:space="preserve">Sica grading was </w:t>
      </w:r>
      <w:r w:rsidR="00AC69B8">
        <w:rPr>
          <w:color w:val="000000" w:themeColor="text1"/>
          <w:sz w:val="16"/>
          <w:szCs w:val="16"/>
        </w:rPr>
        <w:t xml:space="preserve">according to the </w:t>
      </w:r>
      <w:r w:rsidRPr="00AA54A5">
        <w:rPr>
          <w:color w:val="000000" w:themeColor="text1"/>
          <w:sz w:val="16"/>
          <w:szCs w:val="16"/>
        </w:rPr>
        <w:t>2004 WHO classification of lung cancer, which used the term bronchioloalveolar carcinoma</w:t>
      </w:r>
      <w:r w:rsidR="00093B40" w:rsidRPr="00AA54A5">
        <w:rPr>
          <w:color w:val="000000" w:themeColor="text1"/>
          <w:sz w:val="16"/>
          <w:szCs w:val="16"/>
        </w:rPr>
        <w:t xml:space="preserve"> (BAC) to describe noninvasive component. In the 2015 WHO classification, the term has been </w:t>
      </w:r>
      <w:r w:rsidR="00AC69B8">
        <w:rPr>
          <w:color w:val="000000" w:themeColor="text1"/>
          <w:sz w:val="16"/>
          <w:szCs w:val="16"/>
        </w:rPr>
        <w:t>replaced</w:t>
      </w:r>
      <w:r w:rsidR="00093B40" w:rsidRPr="00AA54A5">
        <w:rPr>
          <w:color w:val="000000" w:themeColor="text1"/>
          <w:sz w:val="16"/>
          <w:szCs w:val="16"/>
        </w:rPr>
        <w:t xml:space="preserve"> by adenocarcinoma</w:t>
      </w:r>
      <w:r w:rsidR="00093B40" w:rsidRPr="00AA54A5">
        <w:rPr>
          <w:i/>
          <w:color w:val="000000" w:themeColor="text1"/>
          <w:sz w:val="16"/>
          <w:szCs w:val="16"/>
        </w:rPr>
        <w:t xml:space="preserve"> in situ </w:t>
      </w:r>
      <w:r w:rsidR="00093B40" w:rsidRPr="00AA54A5">
        <w:rPr>
          <w:color w:val="000000" w:themeColor="text1"/>
          <w:sz w:val="16"/>
          <w:szCs w:val="16"/>
        </w:rPr>
        <w:t>(AIS) and minimally invasive adenocarcinoma (MIA)</w:t>
      </w:r>
    </w:p>
    <w:p w14:paraId="2ED7A157" w14:textId="3AF86080" w:rsidR="002E1EAE" w:rsidRPr="00AA54A5" w:rsidRDefault="002E1EAE" w:rsidP="00BE572A">
      <w:pPr>
        <w:pStyle w:val="body"/>
        <w:rPr>
          <w:color w:val="000000" w:themeColor="text1"/>
          <w:sz w:val="16"/>
          <w:szCs w:val="16"/>
        </w:rPr>
      </w:pPr>
      <w:r w:rsidRPr="002E1EAE">
        <w:rPr>
          <w:color w:val="000000" w:themeColor="text1"/>
          <w:sz w:val="16"/>
          <w:szCs w:val="16"/>
          <w:vertAlign w:val="superscript"/>
        </w:rPr>
        <w:t>b</w:t>
      </w:r>
      <w:r>
        <w:rPr>
          <w:color w:val="000000" w:themeColor="text1"/>
          <w:sz w:val="16"/>
          <w:szCs w:val="16"/>
        </w:rPr>
        <w:t xml:space="preserve">The term “well differentiated BAC” is equal to the term lepidic in </w:t>
      </w:r>
      <w:r w:rsidR="00AC69B8">
        <w:rPr>
          <w:color w:val="000000" w:themeColor="text1"/>
          <w:sz w:val="16"/>
          <w:szCs w:val="16"/>
        </w:rPr>
        <w:t xml:space="preserve">the </w:t>
      </w:r>
      <w:bookmarkStart w:id="0" w:name="_GoBack"/>
      <w:bookmarkEnd w:id="0"/>
      <w:r>
        <w:rPr>
          <w:color w:val="000000" w:themeColor="text1"/>
          <w:sz w:val="16"/>
          <w:szCs w:val="16"/>
        </w:rPr>
        <w:t>2015 WHO classification</w:t>
      </w:r>
    </w:p>
    <w:sectPr w:rsidR="002E1EAE" w:rsidRPr="00AA54A5" w:rsidSect="00DA3183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2A"/>
    <w:rsid w:val="00003391"/>
    <w:rsid w:val="00093B40"/>
    <w:rsid w:val="002E1EAE"/>
    <w:rsid w:val="00404266"/>
    <w:rsid w:val="00A36A8E"/>
    <w:rsid w:val="00AA54A5"/>
    <w:rsid w:val="00AC69B8"/>
    <w:rsid w:val="00AF5EE9"/>
    <w:rsid w:val="00BC4FB0"/>
    <w:rsid w:val="00BE572A"/>
    <w:rsid w:val="00C20F45"/>
    <w:rsid w:val="00C32179"/>
    <w:rsid w:val="00DA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BCBBF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A36A8E"/>
    <w:pPr>
      <w:jc w:val="left"/>
    </w:pPr>
    <w:rPr>
      <w:rFonts w:ascii="Times New Roman" w:eastAsia="宋体" w:hAnsi="Times New Roman"/>
      <w:sz w:val="21"/>
    </w:rPr>
  </w:style>
  <w:style w:type="table" w:styleId="TableGrid">
    <w:name w:val="Table Grid"/>
    <w:basedOn w:val="TableNormal"/>
    <w:uiPriority w:val="39"/>
    <w:rsid w:val="00BE57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175</Words>
  <Characters>1002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Wu</dc:creator>
  <cp:keywords/>
  <dc:description/>
  <cp:lastModifiedBy>Jade Wu</cp:lastModifiedBy>
  <cp:revision>6</cp:revision>
  <dcterms:created xsi:type="dcterms:W3CDTF">2016-03-23T12:22:00Z</dcterms:created>
  <dcterms:modified xsi:type="dcterms:W3CDTF">2016-05-25T15:40:00Z</dcterms:modified>
</cp:coreProperties>
</file>