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4E7" w:rsidRPr="00DA77D3" w:rsidRDefault="00C874E7" w:rsidP="00C874E7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Additional file 1</w:t>
      </w:r>
    </w:p>
    <w:p w:rsidR="00C874E7" w:rsidRDefault="00C874E7" w:rsidP="00C874E7">
      <w:pPr>
        <w:spacing w:line="360" w:lineRule="auto"/>
        <w:rPr>
          <w:rFonts w:ascii="Times New Roman" w:hAnsi="Times New Roman"/>
          <w:b/>
        </w:rPr>
      </w:pPr>
    </w:p>
    <w:p w:rsidR="00C874E7" w:rsidRPr="00C874E7" w:rsidRDefault="00C874E7" w:rsidP="00C874E7">
      <w:pPr>
        <w:spacing w:line="360" w:lineRule="auto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b/>
        </w:rPr>
        <w:t>Fig.</w:t>
      </w:r>
      <w:proofErr w:type="gramEnd"/>
      <w:r w:rsidRPr="0087119A">
        <w:rPr>
          <w:rFonts w:ascii="Times New Roman" w:hAnsi="Times New Roman"/>
          <w:b/>
        </w:rPr>
        <w:t xml:space="preserve"> S1</w:t>
      </w:r>
      <w:r>
        <w:rPr>
          <w:rFonts w:ascii="Times New Roman" w:hAnsi="Times New Roman"/>
        </w:rPr>
        <w:t xml:space="preserve"> </w:t>
      </w:r>
      <w:r w:rsidRPr="0087119A">
        <w:rPr>
          <w:rFonts w:ascii="Times New Roman" w:hAnsi="Times New Roman"/>
        </w:rPr>
        <w:t xml:space="preserve">Cell viability of hypoxic colorectal carcinoma </w:t>
      </w:r>
      <w:r>
        <w:rPr>
          <w:rFonts w:ascii="Times New Roman" w:hAnsi="Times New Roman"/>
        </w:rPr>
        <w:t xml:space="preserve">(CRC) </w:t>
      </w:r>
      <w:r w:rsidRPr="0087119A">
        <w:rPr>
          <w:rFonts w:ascii="Times New Roman" w:hAnsi="Times New Roman"/>
        </w:rPr>
        <w:t>cell lines</w:t>
      </w:r>
    </w:p>
    <w:p w:rsidR="00C874E7" w:rsidRDefault="00C874E7" w:rsidP="00C874E7"/>
    <w:p w:rsidR="00C874E7" w:rsidRDefault="00C874E7" w:rsidP="00C874E7">
      <w:r>
        <w:rPr>
          <w:noProof/>
          <w:lang w:val="nb-NO" w:eastAsia="zh-CN"/>
        </w:rPr>
        <w:drawing>
          <wp:inline distT="0" distB="0" distL="0" distR="0">
            <wp:extent cx="5193665" cy="5420360"/>
            <wp:effectExtent l="0" t="0" r="6985" b="8890"/>
            <wp:docPr id="1" name="Picture 1" descr="M:\ComboRx - hypoxicCRC\Combo-Rx Rev Ms\Interim files\160502 LS Supplementary Figure S1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ComboRx - hypoxicCRC\Combo-Rx Rev Ms\Interim files\160502 LS Supplementary Figure S1.tif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3665" cy="542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4E7" w:rsidRDefault="00C874E7" w:rsidP="00C874E7"/>
    <w:p w:rsidR="00C874E7" w:rsidRPr="00A27525" w:rsidRDefault="00C874E7" w:rsidP="00C874E7">
      <w:pPr>
        <w:rPr>
          <w:rFonts w:ascii="Times New Roman" w:hAnsi="Times New Roman"/>
          <w:sz w:val="22"/>
          <w:szCs w:val="22"/>
        </w:rPr>
      </w:pPr>
      <w:r w:rsidRPr="00C874E7">
        <w:rPr>
          <w:rFonts w:ascii="Times New Roman" w:hAnsi="Times New Roman"/>
          <w:b/>
          <w:noProof/>
          <w:spacing w:val="-4"/>
          <w:kern w:val="1"/>
          <w:sz w:val="22"/>
          <w:szCs w:val="22"/>
        </w:rPr>
        <w:t>a.</w:t>
      </w:r>
      <w:r w:rsidRPr="00C874E7">
        <w:rPr>
          <w:rFonts w:ascii="Times New Roman" w:hAnsi="Times New Roman"/>
          <w:noProof/>
          <w:spacing w:val="-4"/>
          <w:kern w:val="1"/>
          <w:sz w:val="22"/>
          <w:szCs w:val="22"/>
        </w:rPr>
        <w:t xml:space="preserve"> </w:t>
      </w:r>
      <w:r w:rsidRPr="00C874E7">
        <w:rPr>
          <w:rFonts w:ascii="Times New Roman" w:hAnsi="Times New Roman"/>
          <w:noProof/>
          <w:spacing w:val="-4"/>
          <w:kern w:val="1"/>
          <w:sz w:val="22"/>
          <w:szCs w:val="22"/>
        </w:rPr>
        <w:t>F</w:t>
      </w:r>
      <w:r w:rsidRPr="00C874E7">
        <w:rPr>
          <w:rFonts w:ascii="Times New Roman" w:hAnsi="Times New Roman"/>
          <w:noProof/>
          <w:spacing w:val="-4"/>
          <w:kern w:val="1"/>
          <w:sz w:val="22"/>
          <w:szCs w:val="22"/>
        </w:rPr>
        <w:t>our CRC cell lines were treated for 24 hours with the indicated concentrations of ABT-737 (inhibitor of anti-apoptotic Bcl-2 family proteins) or AZD8055 (mTOR inhibitor)</w:t>
      </w:r>
      <w:r>
        <w:rPr>
          <w:rFonts w:ascii="Times New Roman" w:hAnsi="Times New Roman"/>
          <w:noProof/>
          <w:spacing w:val="-4"/>
          <w:kern w:val="1"/>
          <w:sz w:val="22"/>
          <w:szCs w:val="22"/>
        </w:rPr>
        <w:t xml:space="preserve"> under normoxic or hyp</w:t>
      </w:r>
      <w:r w:rsidRPr="00C874E7">
        <w:rPr>
          <w:rFonts w:ascii="Times New Roman" w:hAnsi="Times New Roman"/>
          <w:noProof/>
          <w:spacing w:val="-4"/>
          <w:kern w:val="1"/>
          <w:sz w:val="22"/>
          <w:szCs w:val="22"/>
        </w:rPr>
        <w:t xml:space="preserve">oxic culture conditions. </w:t>
      </w:r>
      <w:r w:rsidRPr="00C874E7">
        <w:rPr>
          <w:rFonts w:ascii="Times New Roman" w:hAnsi="Times New Roman"/>
          <w:spacing w:val="-4"/>
          <w:kern w:val="1"/>
          <w:sz w:val="22"/>
          <w:szCs w:val="22"/>
        </w:rPr>
        <w:t xml:space="preserve">Cell viability (measured by the MTS assay) </w:t>
      </w:r>
      <w:r w:rsidR="00A27525">
        <w:rPr>
          <w:rFonts w:ascii="Times New Roman" w:hAnsi="Times New Roman"/>
          <w:sz w:val="22"/>
          <w:szCs w:val="22"/>
        </w:rPr>
        <w:t>value for each condition</w:t>
      </w:r>
      <w:r w:rsidRPr="00C874E7">
        <w:rPr>
          <w:rFonts w:ascii="Times New Roman" w:hAnsi="Times New Roman"/>
          <w:sz w:val="22"/>
          <w:szCs w:val="22"/>
        </w:rPr>
        <w:t xml:space="preserve"> relative to the c</w:t>
      </w:r>
      <w:r w:rsidR="00A27525">
        <w:rPr>
          <w:rFonts w:ascii="Times New Roman" w:hAnsi="Times New Roman"/>
          <w:sz w:val="22"/>
          <w:szCs w:val="22"/>
        </w:rPr>
        <w:t xml:space="preserve">orresponding control cell (vehicle-treated) value is shown as </w:t>
      </w:r>
      <w:proofErr w:type="spellStart"/>
      <w:r>
        <w:rPr>
          <w:rFonts w:ascii="Times New Roman" w:hAnsi="Times New Roman"/>
          <w:sz w:val="22"/>
          <w:szCs w:val="22"/>
        </w:rPr>
        <w:t>mean±SD</w:t>
      </w:r>
      <w:proofErr w:type="spellEnd"/>
      <w:r w:rsidRPr="00C874E7">
        <w:rPr>
          <w:rFonts w:ascii="Times New Roman" w:hAnsi="Times New Roman"/>
          <w:sz w:val="22"/>
          <w:szCs w:val="22"/>
        </w:rPr>
        <w:t xml:space="preserve"> from at least three independent experiments, each plated at least in triplicate</w:t>
      </w:r>
      <w:bookmarkStart w:id="0" w:name="_GoBack"/>
      <w:bookmarkEnd w:id="0"/>
      <w:r w:rsidRPr="00C874E7">
        <w:rPr>
          <w:rFonts w:ascii="Times New Roman" w:hAnsi="Times New Roman"/>
          <w:sz w:val="22"/>
          <w:szCs w:val="22"/>
        </w:rPr>
        <w:t>.</w:t>
      </w:r>
      <w:r w:rsidR="00A27525">
        <w:rPr>
          <w:rFonts w:ascii="Times New Roman" w:hAnsi="Times New Roman"/>
          <w:sz w:val="22"/>
          <w:szCs w:val="22"/>
        </w:rPr>
        <w:t xml:space="preserve"> </w:t>
      </w:r>
      <w:r w:rsidR="00A27525" w:rsidRPr="00A27525">
        <w:rPr>
          <w:rFonts w:ascii="Times New Roman" w:hAnsi="Times New Roman"/>
          <w:sz w:val="22"/>
          <w:szCs w:val="22"/>
        </w:rPr>
        <w:t xml:space="preserve">Statistically significant changes are indicated (asterisk, </w:t>
      </w:r>
      <w:r w:rsidR="00A27525" w:rsidRPr="00A27525">
        <w:rPr>
          <w:rFonts w:ascii="Times New Roman" w:hAnsi="Times New Roman"/>
          <w:i/>
          <w:sz w:val="22"/>
          <w:szCs w:val="22"/>
        </w:rPr>
        <w:t>p</w:t>
      </w:r>
      <w:r w:rsidR="00A27525" w:rsidRPr="00A27525">
        <w:rPr>
          <w:rFonts w:ascii="Times New Roman" w:hAnsi="Times New Roman"/>
          <w:sz w:val="22"/>
          <w:szCs w:val="22"/>
        </w:rPr>
        <w:t xml:space="preserve">&lt;0.05; cross, </w:t>
      </w:r>
      <w:r w:rsidR="00A27525" w:rsidRPr="00A27525">
        <w:rPr>
          <w:rFonts w:ascii="Times New Roman" w:hAnsi="Times New Roman"/>
          <w:i/>
          <w:sz w:val="22"/>
          <w:szCs w:val="22"/>
        </w:rPr>
        <w:t>p</w:t>
      </w:r>
      <w:r w:rsidR="00A27525" w:rsidRPr="00A27525">
        <w:rPr>
          <w:rFonts w:ascii="Times New Roman" w:hAnsi="Times New Roman"/>
          <w:sz w:val="22"/>
          <w:szCs w:val="22"/>
        </w:rPr>
        <w:t xml:space="preserve">&lt;0.01; circle, </w:t>
      </w:r>
      <w:r w:rsidR="00A27525" w:rsidRPr="00A27525">
        <w:rPr>
          <w:rFonts w:ascii="Times New Roman" w:hAnsi="Times New Roman"/>
          <w:i/>
          <w:sz w:val="22"/>
          <w:szCs w:val="22"/>
        </w:rPr>
        <w:t>p</w:t>
      </w:r>
      <w:r w:rsidR="00A27525" w:rsidRPr="00A27525">
        <w:rPr>
          <w:rFonts w:ascii="Times New Roman" w:hAnsi="Times New Roman"/>
          <w:sz w:val="22"/>
          <w:szCs w:val="22"/>
        </w:rPr>
        <w:t>&lt;0.001).</w:t>
      </w:r>
      <w:r w:rsidRPr="00C874E7">
        <w:rPr>
          <w:rFonts w:ascii="Times New Roman" w:hAnsi="Times New Roman"/>
          <w:noProof/>
          <w:spacing w:val="-4"/>
          <w:kern w:val="1"/>
          <w:sz w:val="22"/>
          <w:szCs w:val="22"/>
        </w:rPr>
        <w:t xml:space="preserve"> </w:t>
      </w:r>
      <w:r w:rsidRPr="00C874E7">
        <w:rPr>
          <w:rFonts w:ascii="Times New Roman" w:hAnsi="Times New Roman"/>
          <w:b/>
          <w:noProof/>
          <w:spacing w:val="-4"/>
          <w:kern w:val="1"/>
          <w:sz w:val="22"/>
          <w:szCs w:val="22"/>
        </w:rPr>
        <w:t>b.</w:t>
      </w:r>
      <w:r w:rsidRPr="00C874E7">
        <w:rPr>
          <w:rFonts w:ascii="Times New Roman" w:hAnsi="Times New Roman"/>
          <w:noProof/>
          <w:spacing w:val="-4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noProof/>
          <w:spacing w:val="-4"/>
          <w:kern w:val="1"/>
          <w:sz w:val="22"/>
          <w:szCs w:val="22"/>
        </w:rPr>
        <w:t>C</w:t>
      </w:r>
      <w:r w:rsidRPr="00C874E7">
        <w:rPr>
          <w:rFonts w:ascii="Times New Roman" w:hAnsi="Times New Roman"/>
          <w:noProof/>
          <w:spacing w:val="-4"/>
          <w:kern w:val="1"/>
          <w:sz w:val="22"/>
          <w:szCs w:val="22"/>
        </w:rPr>
        <w:t>ultures of the CRC cell line were left in the hypoxic chamber at 0.2% O</w:t>
      </w:r>
      <w:r w:rsidRPr="00C874E7">
        <w:rPr>
          <w:rFonts w:ascii="Times New Roman" w:hAnsi="Times New Roman"/>
          <w:noProof/>
          <w:spacing w:val="-4"/>
          <w:kern w:val="1"/>
          <w:sz w:val="22"/>
          <w:szCs w:val="22"/>
          <w:vertAlign w:val="subscript"/>
        </w:rPr>
        <w:t>2</w:t>
      </w:r>
      <w:r w:rsidRPr="00C874E7">
        <w:rPr>
          <w:rFonts w:ascii="Times New Roman" w:hAnsi="Times New Roman"/>
          <w:noProof/>
          <w:spacing w:val="-4"/>
          <w:kern w:val="1"/>
          <w:sz w:val="22"/>
          <w:szCs w:val="22"/>
        </w:rPr>
        <w:t xml:space="preserve"> and harvested after the indicated time periods. Expression of the </w:t>
      </w:r>
      <w:r w:rsidRPr="00C874E7">
        <w:rPr>
          <w:rFonts w:ascii="Times New Roman" w:hAnsi="Times New Roman"/>
          <w:sz w:val="22"/>
          <w:szCs w:val="22"/>
        </w:rPr>
        <w:t xml:space="preserve">hypoxia-inducible factor type 1α (HIF-1α) and its target gene carbonic anhydrase IX (CAIX) was examined by Western blot analysis, with α-tubulin expression as loading control, and </w:t>
      </w:r>
      <w:r>
        <w:rPr>
          <w:rFonts w:ascii="Times New Roman" w:hAnsi="Times New Roman"/>
          <w:sz w:val="22"/>
          <w:szCs w:val="22"/>
        </w:rPr>
        <w:t xml:space="preserve">with </w:t>
      </w:r>
      <w:r w:rsidRPr="00C874E7">
        <w:rPr>
          <w:rFonts w:ascii="Times New Roman" w:hAnsi="Times New Roman"/>
          <w:sz w:val="22"/>
          <w:szCs w:val="22"/>
        </w:rPr>
        <w:t xml:space="preserve">24 hours of </w:t>
      </w:r>
      <w:proofErr w:type="spellStart"/>
      <w:r w:rsidRPr="00C874E7">
        <w:rPr>
          <w:rFonts w:ascii="Times New Roman" w:hAnsi="Times New Roman"/>
          <w:sz w:val="22"/>
          <w:szCs w:val="22"/>
        </w:rPr>
        <w:t>normoxia</w:t>
      </w:r>
      <w:proofErr w:type="spellEnd"/>
      <w:r w:rsidRPr="00C874E7">
        <w:rPr>
          <w:rFonts w:ascii="Times New Roman" w:hAnsi="Times New Roman"/>
          <w:sz w:val="22"/>
          <w:szCs w:val="22"/>
        </w:rPr>
        <w:t xml:space="preserve"> and 4 hours of 100 </w:t>
      </w:r>
      <w:proofErr w:type="spellStart"/>
      <w:r w:rsidRPr="00C874E7">
        <w:rPr>
          <w:rFonts w:ascii="Times New Roman" w:hAnsi="Times New Roman"/>
          <w:sz w:val="22"/>
          <w:szCs w:val="22"/>
        </w:rPr>
        <w:t>μM</w:t>
      </w:r>
      <w:proofErr w:type="spellEnd"/>
      <w:r w:rsidRPr="00C874E7">
        <w:rPr>
          <w:rFonts w:ascii="Times New Roman" w:hAnsi="Times New Roman"/>
          <w:sz w:val="22"/>
          <w:szCs w:val="22"/>
        </w:rPr>
        <w:t xml:space="preserve"> CoCl</w:t>
      </w:r>
      <w:r w:rsidRPr="00C874E7">
        <w:rPr>
          <w:rFonts w:ascii="Times New Roman" w:hAnsi="Times New Roman"/>
          <w:sz w:val="22"/>
          <w:szCs w:val="22"/>
          <w:vertAlign w:val="subscript"/>
        </w:rPr>
        <w:t>2</w:t>
      </w:r>
      <w:r w:rsidRPr="00C874E7">
        <w:rPr>
          <w:rFonts w:ascii="Times New Roman" w:hAnsi="Times New Roman"/>
          <w:sz w:val="22"/>
          <w:szCs w:val="22"/>
        </w:rPr>
        <w:t xml:space="preserve"> exposure in </w:t>
      </w:r>
      <w:proofErr w:type="spellStart"/>
      <w:r w:rsidRPr="00C874E7">
        <w:rPr>
          <w:rFonts w:ascii="Times New Roman" w:hAnsi="Times New Roman"/>
          <w:sz w:val="22"/>
          <w:szCs w:val="22"/>
        </w:rPr>
        <w:t>normoxia</w:t>
      </w:r>
      <w:proofErr w:type="spellEnd"/>
      <w:r w:rsidRPr="00C874E7">
        <w:rPr>
          <w:rFonts w:ascii="Times New Roman" w:hAnsi="Times New Roman"/>
          <w:sz w:val="22"/>
          <w:szCs w:val="22"/>
        </w:rPr>
        <w:t xml:space="preserve"> to generate negative and positive biological controls for HIF-1α expression, respectively.</w:t>
      </w:r>
    </w:p>
    <w:p w:rsidR="00A27525" w:rsidRPr="00A27525" w:rsidRDefault="00A27525" w:rsidP="00C874E7">
      <w:pPr>
        <w:rPr>
          <w:sz w:val="22"/>
          <w:szCs w:val="22"/>
        </w:rPr>
      </w:pPr>
    </w:p>
    <w:sectPr w:rsidR="00A27525" w:rsidRPr="00A275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4E7"/>
    <w:rsid w:val="00016E74"/>
    <w:rsid w:val="00A27525"/>
    <w:rsid w:val="00C8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4E7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74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4E7"/>
    <w:rPr>
      <w:rFonts w:ascii="Tahoma" w:eastAsia="MS Mincho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4E7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74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4E7"/>
    <w:rPr>
      <w:rFonts w:ascii="Tahoma" w:eastAsia="MS Mincho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181</Words>
  <Characters>960</Characters>
  <Application>Microsoft Office Word</Application>
  <DocSecurity>0</DocSecurity>
  <Lines>8</Lines>
  <Paragraphs>2</Paragraphs>
  <ScaleCrop>false</ScaleCrop>
  <Company>Universitetet i Oslo</Company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"ahree"</dc:creator>
  <cp:lastModifiedBy>"ahree"</cp:lastModifiedBy>
  <cp:revision>2</cp:revision>
  <dcterms:created xsi:type="dcterms:W3CDTF">2016-05-04T11:34:00Z</dcterms:created>
  <dcterms:modified xsi:type="dcterms:W3CDTF">2016-05-04T11:47:00Z</dcterms:modified>
</cp:coreProperties>
</file>