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F24" w:rsidRPr="00BF589B" w:rsidRDefault="00F07F24" w:rsidP="0039370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F589B">
        <w:rPr>
          <w:rFonts w:ascii="Times New Roman" w:hAnsi="Times New Roman" w:cs="Times New Roman"/>
          <w:b/>
          <w:sz w:val="24"/>
          <w:szCs w:val="24"/>
        </w:rPr>
        <w:t>Additional file</w:t>
      </w:r>
      <w:r w:rsidR="0095795A" w:rsidRPr="00BF589B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F07F24" w:rsidRPr="00BF589B" w:rsidRDefault="00846DFA" w:rsidP="0039370F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BF589B">
        <w:rPr>
          <w:rFonts w:ascii="Times New Roman" w:hAnsi="Times New Roman" w:cs="Times New Roman"/>
          <w:i/>
          <w:sz w:val="24"/>
          <w:szCs w:val="24"/>
        </w:rPr>
        <w:t>BRCA mutation analyses</w:t>
      </w:r>
    </w:p>
    <w:p w:rsidR="003813A0" w:rsidRPr="00BF589B" w:rsidRDefault="003813A0" w:rsidP="0039370F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80" w:lineRule="auto"/>
        <w:jc w:val="both"/>
        <w:rPr>
          <w:b/>
        </w:rPr>
      </w:pPr>
      <w:r w:rsidRPr="00BF589B">
        <w:rPr>
          <w:b/>
        </w:rPr>
        <w:t>SSCP analysis</w:t>
      </w:r>
    </w:p>
    <w:p w:rsidR="003813A0" w:rsidRPr="00BF589B" w:rsidRDefault="003813A0" w:rsidP="0039370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89B">
        <w:rPr>
          <w:rFonts w:ascii="Times New Roman" w:hAnsi="Times New Roman" w:cs="Times New Roman"/>
          <w:sz w:val="24"/>
          <w:szCs w:val="24"/>
        </w:rPr>
        <w:t xml:space="preserve">Amplified PCR product of patient samples were diluted 1:10 in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formamide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 buffer (98%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formamide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F589B">
        <w:rPr>
          <w:rFonts w:ascii="Times New Roman" w:hAnsi="Times New Roman" w:cs="Times New Roman"/>
          <w:sz w:val="24"/>
          <w:szCs w:val="24"/>
        </w:rPr>
        <w:t xml:space="preserve">10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/l EDTA, pH 8, 0.025% bromophenol blue, 0.025% xylene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cyanol</w:t>
      </w:r>
      <w:proofErr w:type="spellEnd"/>
      <w:proofErr w:type="gramEnd"/>
      <w:r w:rsidRPr="00BF589B">
        <w:rPr>
          <w:rFonts w:ascii="Times New Roman" w:hAnsi="Times New Roman" w:cs="Times New Roman"/>
          <w:sz w:val="24"/>
          <w:szCs w:val="24"/>
        </w:rPr>
        <w:t xml:space="preserve">), heated to 95°C for five minutes and chilled on ice for five minutes. Three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 of this mixture were loaded onto vertical non-denaturing 6% polyacrylamide gels and electrophoresed at 6 W constant </w:t>
      </w:r>
      <w:proofErr w:type="gramStart"/>
      <w:r w:rsidRPr="00BF589B">
        <w:rPr>
          <w:rFonts w:ascii="Times New Roman" w:hAnsi="Times New Roman" w:cs="Times New Roman"/>
          <w:sz w:val="24"/>
          <w:szCs w:val="24"/>
        </w:rPr>
        <w:t>power</w:t>
      </w:r>
      <w:proofErr w:type="gramEnd"/>
      <w:r w:rsidRPr="00BF589B">
        <w:rPr>
          <w:rFonts w:ascii="Times New Roman" w:hAnsi="Times New Roman" w:cs="Times New Roman"/>
          <w:sz w:val="24"/>
          <w:szCs w:val="24"/>
        </w:rPr>
        <w:t xml:space="preserve"> for 7-16 hours in 0.6×TBE buffer at 4°C. Furthermore, samples were electrophoresed on non-denaturing 6% polyacrylamide gels containing 5% glycerol at room temperature. Variant bands were detected by autoradiography.</w:t>
      </w:r>
    </w:p>
    <w:p w:rsidR="003813A0" w:rsidRPr="00BF589B" w:rsidRDefault="003813A0" w:rsidP="0039370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3A0" w:rsidRPr="00BF589B" w:rsidRDefault="003813A0" w:rsidP="0039370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89B">
        <w:rPr>
          <w:rFonts w:ascii="Times New Roman" w:hAnsi="Times New Roman" w:cs="Times New Roman"/>
          <w:b/>
          <w:sz w:val="24"/>
          <w:szCs w:val="24"/>
        </w:rPr>
        <w:t>PTT analysis</w:t>
      </w:r>
    </w:p>
    <w:p w:rsidR="003813A0" w:rsidRPr="00BF589B" w:rsidRDefault="003813A0" w:rsidP="0039370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89B">
        <w:rPr>
          <w:rFonts w:ascii="Times New Roman" w:hAnsi="Times New Roman" w:cs="Times New Roman"/>
          <w:i/>
          <w:sz w:val="24"/>
          <w:szCs w:val="24"/>
        </w:rPr>
        <w:t xml:space="preserve">BRCA1 </w:t>
      </w:r>
      <w:r w:rsidRPr="00BF589B">
        <w:rPr>
          <w:rFonts w:ascii="Times New Roman" w:hAnsi="Times New Roman" w:cs="Times New Roman"/>
          <w:sz w:val="24"/>
          <w:szCs w:val="24"/>
        </w:rPr>
        <w:t xml:space="preserve">exon 11, </w:t>
      </w:r>
      <w:r w:rsidRPr="00BF589B">
        <w:rPr>
          <w:rFonts w:ascii="Times New Roman" w:hAnsi="Times New Roman" w:cs="Times New Roman"/>
          <w:i/>
          <w:sz w:val="24"/>
          <w:szCs w:val="24"/>
        </w:rPr>
        <w:t>BRCA2</w:t>
      </w:r>
      <w:r w:rsidRPr="00BF589B">
        <w:rPr>
          <w:rFonts w:ascii="Times New Roman" w:hAnsi="Times New Roman" w:cs="Times New Roman"/>
          <w:sz w:val="24"/>
          <w:szCs w:val="24"/>
        </w:rPr>
        <w:t xml:space="preserve"> exons 10 and 11 were screened by PTT assay. </w:t>
      </w:r>
      <w:r w:rsidRPr="00BF589B">
        <w:rPr>
          <w:rFonts w:ascii="Times New Roman" w:hAnsi="Times New Roman" w:cs="Times New Roman"/>
          <w:i/>
          <w:sz w:val="24"/>
          <w:szCs w:val="24"/>
        </w:rPr>
        <w:t>BRCA1</w:t>
      </w:r>
      <w:r w:rsidRPr="00BF589B">
        <w:rPr>
          <w:rFonts w:ascii="Times New Roman" w:hAnsi="Times New Roman" w:cs="Times New Roman"/>
          <w:sz w:val="24"/>
          <w:szCs w:val="24"/>
        </w:rPr>
        <w:t xml:space="preserve"> exon 11 was amplified in 3 overlapping fragments, </w:t>
      </w:r>
      <w:r w:rsidRPr="00BF589B">
        <w:rPr>
          <w:rFonts w:ascii="Times New Roman" w:hAnsi="Times New Roman" w:cs="Times New Roman"/>
          <w:i/>
          <w:sz w:val="24"/>
          <w:szCs w:val="24"/>
        </w:rPr>
        <w:t>BRCA2</w:t>
      </w:r>
      <w:r w:rsidRPr="00BF589B">
        <w:rPr>
          <w:rFonts w:ascii="Times New Roman" w:hAnsi="Times New Roman" w:cs="Times New Roman"/>
          <w:sz w:val="24"/>
          <w:szCs w:val="24"/>
        </w:rPr>
        <w:t xml:space="preserve"> exon 11 in 3 to 5 overlapping fragments and </w:t>
      </w:r>
      <w:r w:rsidRPr="00BF589B">
        <w:rPr>
          <w:rFonts w:ascii="Times New Roman" w:hAnsi="Times New Roman" w:cs="Times New Roman"/>
          <w:i/>
          <w:sz w:val="24"/>
          <w:szCs w:val="24"/>
        </w:rPr>
        <w:t xml:space="preserve">BRCA2 </w:t>
      </w:r>
      <w:r w:rsidRPr="00BF589B">
        <w:rPr>
          <w:rFonts w:ascii="Times New Roman" w:hAnsi="Times New Roman" w:cs="Times New Roman"/>
          <w:sz w:val="24"/>
          <w:szCs w:val="24"/>
        </w:rPr>
        <w:t xml:space="preserve">exon 10 in a single fragment. PCR amplification of the segments was as follows: 50 ng genomic DNA was used as template in a 25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 reaction volume using standard PCR conditions except that the primer concentration was 0.5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. Samples were amplified using the following cycling conditions: 95°C for 12 minute, 94°C for 30 seconds, 53°C (for </w:t>
      </w:r>
      <w:r w:rsidRPr="00BF589B">
        <w:rPr>
          <w:rFonts w:ascii="Times New Roman" w:hAnsi="Times New Roman" w:cs="Times New Roman"/>
          <w:i/>
          <w:sz w:val="24"/>
          <w:szCs w:val="24"/>
        </w:rPr>
        <w:t>BRCA1</w:t>
      </w:r>
      <w:r w:rsidRPr="00BF589B">
        <w:rPr>
          <w:rFonts w:ascii="Times New Roman" w:hAnsi="Times New Roman" w:cs="Times New Roman"/>
          <w:sz w:val="24"/>
          <w:szCs w:val="24"/>
        </w:rPr>
        <w:t xml:space="preserve">) or 52°C (for </w:t>
      </w:r>
      <w:r w:rsidRPr="00BF589B">
        <w:rPr>
          <w:rFonts w:ascii="Times New Roman" w:hAnsi="Times New Roman" w:cs="Times New Roman"/>
          <w:i/>
          <w:sz w:val="24"/>
          <w:szCs w:val="24"/>
        </w:rPr>
        <w:t>BRCA2</w:t>
      </w:r>
      <w:r w:rsidRPr="00BF589B">
        <w:rPr>
          <w:rFonts w:ascii="Times New Roman" w:hAnsi="Times New Roman" w:cs="Times New Roman"/>
          <w:sz w:val="24"/>
          <w:szCs w:val="24"/>
        </w:rPr>
        <w:t xml:space="preserve">) for 30 seconds, 72°C for two minutes, 35 times. Coupled transcription and translation was done using 1-3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 of PCR product in a total volume of 7.5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 which included 3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 of TNT T7 reticulocyte lysate (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Promega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, Madison) and 0.5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 of </w:t>
      </w:r>
      <w:r w:rsidRPr="00BF589B">
        <w:rPr>
          <w:rFonts w:ascii="Times New Roman" w:hAnsi="Times New Roman" w:cs="Times New Roman"/>
          <w:sz w:val="24"/>
          <w:szCs w:val="24"/>
          <w:vertAlign w:val="superscript"/>
        </w:rPr>
        <w:t>35</w:t>
      </w:r>
      <w:r w:rsidRPr="00BF589B">
        <w:rPr>
          <w:rFonts w:ascii="Times New Roman" w:hAnsi="Times New Roman" w:cs="Times New Roman"/>
          <w:sz w:val="24"/>
          <w:szCs w:val="24"/>
        </w:rPr>
        <w:t xml:space="preserve">S-cysteine (ICN, Irvine). Labelled protein products were denatured and size fractionated on 12% SDS-PAGE, dried, and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autoradiographed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>.</w:t>
      </w:r>
    </w:p>
    <w:p w:rsidR="003813A0" w:rsidRPr="00BF589B" w:rsidRDefault="003813A0" w:rsidP="0039370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3A0" w:rsidRPr="00BF589B" w:rsidRDefault="003813A0" w:rsidP="0039370F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89B">
        <w:rPr>
          <w:rFonts w:ascii="Times New Roman" w:hAnsi="Times New Roman" w:cs="Times New Roman"/>
          <w:b/>
          <w:sz w:val="24"/>
          <w:szCs w:val="24"/>
        </w:rPr>
        <w:lastRenderedPageBreak/>
        <w:t>DHPLC analysis</w:t>
      </w:r>
    </w:p>
    <w:p w:rsidR="003813A0" w:rsidRPr="00BF589B" w:rsidRDefault="003813A0" w:rsidP="0039370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89B">
        <w:rPr>
          <w:rFonts w:ascii="Times New Roman" w:hAnsi="Times New Roman" w:cs="Times New Roman"/>
          <w:sz w:val="24"/>
          <w:szCs w:val="24"/>
        </w:rPr>
        <w:t xml:space="preserve">DHPLC analysis was performed using the WAVE system (Transgenomics, Omaha, NE). The </w:t>
      </w:r>
      <w:smartTag w:uri="urn:schemas-microsoft-com:office:smarttags" w:element="stockticker">
        <w:r w:rsidRPr="00BF589B">
          <w:rPr>
            <w:rFonts w:ascii="Times New Roman" w:hAnsi="Times New Roman" w:cs="Times New Roman"/>
            <w:sz w:val="24"/>
            <w:szCs w:val="24"/>
          </w:rPr>
          <w:t>PCR</w:t>
        </w:r>
      </w:smartTag>
      <w:r w:rsidRPr="00BF589B">
        <w:rPr>
          <w:rFonts w:ascii="Times New Roman" w:hAnsi="Times New Roman" w:cs="Times New Roman"/>
          <w:sz w:val="24"/>
          <w:szCs w:val="24"/>
        </w:rPr>
        <w:t xml:space="preserve"> products were subjected to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heteroduplex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 formation by denaturing at 95°C for 5 minute, followed by gradual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reannealing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 to 25°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C over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 25 minutes. The </w:t>
      </w:r>
      <w:smartTag w:uri="urn:schemas-microsoft-com:office:smarttags" w:element="stockticker">
        <w:r w:rsidRPr="00BF589B">
          <w:rPr>
            <w:rFonts w:ascii="Times New Roman" w:hAnsi="Times New Roman" w:cs="Times New Roman"/>
            <w:sz w:val="24"/>
            <w:szCs w:val="24"/>
          </w:rPr>
          <w:t>PCR</w:t>
        </w:r>
      </w:smartTag>
      <w:r w:rsidRPr="00BF589B">
        <w:rPr>
          <w:rFonts w:ascii="Times New Roman" w:hAnsi="Times New Roman" w:cs="Times New Roman"/>
          <w:sz w:val="24"/>
          <w:szCs w:val="24"/>
        </w:rPr>
        <w:t xml:space="preserve"> products were loaded to the preheated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DNASep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 column (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Transgenomics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, Omaha, NE) with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homoduplexes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heteroduplexes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 eluting to it differentially under denaturing conditions. The samples were eluted at a flow rate of 0.9 ml/min using a linear gradient of acetonitrile in 0.1 M </w:t>
      </w:r>
      <w:proofErr w:type="spellStart"/>
      <w:r w:rsidRPr="00BF589B">
        <w:rPr>
          <w:rFonts w:ascii="Times New Roman" w:hAnsi="Times New Roman" w:cs="Times New Roman"/>
          <w:sz w:val="24"/>
          <w:szCs w:val="24"/>
        </w:rPr>
        <w:t>triethylamine</w:t>
      </w:r>
      <w:proofErr w:type="spellEnd"/>
      <w:r w:rsidRPr="00BF589B">
        <w:rPr>
          <w:rFonts w:ascii="Times New Roman" w:hAnsi="Times New Roman" w:cs="Times New Roman"/>
          <w:sz w:val="24"/>
          <w:szCs w:val="24"/>
        </w:rPr>
        <w:t xml:space="preserve"> acetate buffer. The starting gradient varied among amplicons, depending on the </w:t>
      </w:r>
      <w:smartTag w:uri="urn:schemas-microsoft-com:office:smarttags" w:element="stockticker">
        <w:r w:rsidRPr="00BF589B">
          <w:rPr>
            <w:rFonts w:ascii="Times New Roman" w:hAnsi="Times New Roman" w:cs="Times New Roman"/>
            <w:sz w:val="24"/>
            <w:szCs w:val="24"/>
          </w:rPr>
          <w:t>DNA</w:t>
        </w:r>
      </w:smartTag>
      <w:r w:rsidRPr="00BF589B">
        <w:rPr>
          <w:rFonts w:ascii="Times New Roman" w:hAnsi="Times New Roman" w:cs="Times New Roman"/>
          <w:sz w:val="24"/>
          <w:szCs w:val="24"/>
        </w:rPr>
        <w:t xml:space="preserve"> sequence and fragment size. The analysis was carried out at 2 to 3 temperatures for amplicons containing several melting domains. Eluted DNA fragments were detected by a UV detector (Transgenomics, Omaha, NE).</w:t>
      </w:r>
    </w:p>
    <w:p w:rsidR="003813A0" w:rsidRPr="00BF589B" w:rsidRDefault="003813A0" w:rsidP="0039370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06AF4" w:rsidRPr="00BF589B" w:rsidRDefault="00706AF4" w:rsidP="0039370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89B">
        <w:rPr>
          <w:rFonts w:ascii="Times New Roman" w:hAnsi="Times New Roman" w:cs="Times New Roman"/>
          <w:b/>
          <w:sz w:val="24"/>
          <w:szCs w:val="24"/>
        </w:rPr>
        <w:t>DNA sequence analysis</w:t>
      </w:r>
    </w:p>
    <w:p w:rsidR="00120EFB" w:rsidRPr="00BF589B" w:rsidRDefault="00706AF4" w:rsidP="0039370F">
      <w:pPr>
        <w:pStyle w:val="PlainText"/>
        <w:spacing w:line="480" w:lineRule="auto"/>
        <w:jc w:val="both"/>
      </w:pPr>
      <w:r w:rsidRPr="00BF589B">
        <w:rPr>
          <w:rFonts w:ascii="Times New Roman" w:hAnsi="Times New Roman"/>
          <w:sz w:val="24"/>
          <w:szCs w:val="24"/>
        </w:rPr>
        <w:t xml:space="preserve">Each sample revealing variants detected by </w:t>
      </w:r>
      <w:proofErr w:type="gramStart"/>
      <w:r w:rsidRPr="00BF589B">
        <w:rPr>
          <w:rFonts w:ascii="Times New Roman" w:hAnsi="Times New Roman"/>
          <w:sz w:val="24"/>
          <w:szCs w:val="24"/>
        </w:rPr>
        <w:t>either SSCP</w:t>
      </w:r>
      <w:proofErr w:type="gramEnd"/>
      <w:r w:rsidRPr="00BF589B">
        <w:rPr>
          <w:rFonts w:ascii="Times New Roman" w:hAnsi="Times New Roman"/>
          <w:sz w:val="24"/>
          <w:szCs w:val="24"/>
        </w:rPr>
        <w:t xml:space="preserve">, DHPLC or PTT analysis was </w:t>
      </w:r>
      <w:r w:rsidR="00116FA5" w:rsidRPr="00BF589B">
        <w:rPr>
          <w:rFonts w:ascii="Times New Roman" w:hAnsi="Times New Roman"/>
          <w:sz w:val="24"/>
          <w:szCs w:val="24"/>
        </w:rPr>
        <w:t xml:space="preserve">directly </w:t>
      </w:r>
      <w:r w:rsidRPr="00BF589B">
        <w:rPr>
          <w:rFonts w:ascii="Times New Roman" w:hAnsi="Times New Roman"/>
          <w:sz w:val="24"/>
          <w:szCs w:val="24"/>
        </w:rPr>
        <w:t xml:space="preserve">sequenced using </w:t>
      </w:r>
      <w:proofErr w:type="spellStart"/>
      <w:r w:rsidR="00B6571A" w:rsidRPr="00BF589B">
        <w:rPr>
          <w:rFonts w:ascii="Times New Roman" w:hAnsi="Times New Roman"/>
          <w:sz w:val="24"/>
          <w:szCs w:val="24"/>
        </w:rPr>
        <w:t>BigDye</w:t>
      </w:r>
      <w:proofErr w:type="spellEnd"/>
      <w:r w:rsidR="00B6571A" w:rsidRPr="00BF589B">
        <w:rPr>
          <w:rFonts w:ascii="Times New Roman" w:hAnsi="Times New Roman"/>
          <w:sz w:val="24"/>
          <w:szCs w:val="24"/>
        </w:rPr>
        <w:t xml:space="preserve"> Terminator v.3 Cycle Sequencing Kit</w:t>
      </w:r>
      <w:r w:rsidR="00F77A27" w:rsidRPr="00BF589B">
        <w:rPr>
          <w:rFonts w:ascii="Times New Roman" w:hAnsi="Times New Roman"/>
          <w:sz w:val="24"/>
          <w:szCs w:val="24"/>
        </w:rPr>
        <w:t xml:space="preserve"> (Applied Biosystems, California, USA). The sequencing reaction was purified with </w:t>
      </w:r>
      <w:proofErr w:type="spellStart"/>
      <w:r w:rsidR="00F77A27" w:rsidRPr="00BF589B">
        <w:rPr>
          <w:rFonts w:ascii="Times New Roman" w:hAnsi="Times New Roman"/>
          <w:sz w:val="24"/>
          <w:szCs w:val="24"/>
        </w:rPr>
        <w:t>BigDye</w:t>
      </w:r>
      <w:proofErr w:type="spellEnd"/>
      <w:r w:rsidR="00F77A27" w:rsidRPr="00BF58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7A27" w:rsidRPr="00BF589B">
        <w:rPr>
          <w:rFonts w:ascii="Times New Roman" w:hAnsi="Times New Roman"/>
          <w:sz w:val="24"/>
          <w:szCs w:val="24"/>
        </w:rPr>
        <w:t>XTerminator</w:t>
      </w:r>
      <w:proofErr w:type="spellEnd"/>
      <w:r w:rsidR="00F77A27" w:rsidRPr="00BF589B">
        <w:rPr>
          <w:rFonts w:ascii="Times New Roman" w:hAnsi="Times New Roman"/>
          <w:sz w:val="24"/>
          <w:szCs w:val="24"/>
        </w:rPr>
        <w:t xml:space="preserve"> Purification Kit (Applied Biosystems, California, USA)</w:t>
      </w:r>
      <w:r w:rsidR="00B6571A" w:rsidRPr="00BF589B">
        <w:rPr>
          <w:rFonts w:ascii="Times New Roman" w:hAnsi="Times New Roman"/>
          <w:sz w:val="24"/>
          <w:szCs w:val="24"/>
        </w:rPr>
        <w:t xml:space="preserve"> </w:t>
      </w:r>
      <w:r w:rsidRPr="00BF589B">
        <w:rPr>
          <w:rFonts w:ascii="Times New Roman" w:hAnsi="Times New Roman"/>
          <w:sz w:val="24"/>
          <w:szCs w:val="24"/>
        </w:rPr>
        <w:t>an</w:t>
      </w:r>
      <w:r w:rsidR="00B6571A" w:rsidRPr="00BF589B">
        <w:rPr>
          <w:rFonts w:ascii="Times New Roman" w:hAnsi="Times New Roman"/>
          <w:sz w:val="24"/>
          <w:szCs w:val="24"/>
        </w:rPr>
        <w:t>d</w:t>
      </w:r>
      <w:r w:rsidRPr="00BF589B">
        <w:rPr>
          <w:rFonts w:ascii="Times New Roman" w:hAnsi="Times New Roman"/>
          <w:sz w:val="24"/>
          <w:szCs w:val="24"/>
        </w:rPr>
        <w:t xml:space="preserve"> </w:t>
      </w:r>
      <w:r w:rsidR="00F77A27" w:rsidRPr="00BF589B">
        <w:rPr>
          <w:rFonts w:ascii="Times New Roman" w:hAnsi="Times New Roman"/>
          <w:sz w:val="24"/>
          <w:szCs w:val="24"/>
        </w:rPr>
        <w:t xml:space="preserve">sequenced on an </w:t>
      </w:r>
      <w:r w:rsidRPr="00BF589B">
        <w:rPr>
          <w:rFonts w:ascii="Times New Roman" w:hAnsi="Times New Roman"/>
          <w:sz w:val="24"/>
          <w:szCs w:val="24"/>
        </w:rPr>
        <w:t xml:space="preserve">automated </w:t>
      </w:r>
      <w:r w:rsidR="001909C6" w:rsidRPr="00BF589B">
        <w:rPr>
          <w:rFonts w:ascii="Times New Roman" w:hAnsi="Times New Roman"/>
          <w:sz w:val="24"/>
          <w:szCs w:val="24"/>
        </w:rPr>
        <w:t xml:space="preserve">3500 Genetic Analyzer (Applied Biosystems, California, USA) according to the manufacturer’s instructions. </w:t>
      </w:r>
      <w:r w:rsidRPr="00BF589B">
        <w:rPr>
          <w:rFonts w:ascii="Times New Roman" w:hAnsi="Times New Roman"/>
          <w:sz w:val="24"/>
          <w:szCs w:val="24"/>
        </w:rPr>
        <w:t>Bidirectional genomic DNA sequencing was performed to confirm the presence of a mutation. All mutations were reconfirmed on a second blood sample.</w:t>
      </w:r>
      <w:bookmarkEnd w:id="0"/>
    </w:p>
    <w:sectPr w:rsidR="00120EFB" w:rsidRPr="00BF58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hideSpellingErrors/>
  <w:hideGrammaticalError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3A0"/>
    <w:rsid w:val="00116FA5"/>
    <w:rsid w:val="00120EFB"/>
    <w:rsid w:val="001909C6"/>
    <w:rsid w:val="00195A6C"/>
    <w:rsid w:val="0020209B"/>
    <w:rsid w:val="00212D30"/>
    <w:rsid w:val="0025233A"/>
    <w:rsid w:val="002C1C6A"/>
    <w:rsid w:val="003813A0"/>
    <w:rsid w:val="0039370F"/>
    <w:rsid w:val="003A499E"/>
    <w:rsid w:val="00472796"/>
    <w:rsid w:val="00706AF4"/>
    <w:rsid w:val="00725AF8"/>
    <w:rsid w:val="00743A87"/>
    <w:rsid w:val="00846DFA"/>
    <w:rsid w:val="00874C10"/>
    <w:rsid w:val="0089537A"/>
    <w:rsid w:val="00913F14"/>
    <w:rsid w:val="0095795A"/>
    <w:rsid w:val="00971043"/>
    <w:rsid w:val="009B5BE4"/>
    <w:rsid w:val="00B0117B"/>
    <w:rsid w:val="00B6571A"/>
    <w:rsid w:val="00BF589B"/>
    <w:rsid w:val="00C00A0E"/>
    <w:rsid w:val="00C0269A"/>
    <w:rsid w:val="00C05F27"/>
    <w:rsid w:val="00CA7A75"/>
    <w:rsid w:val="00D505D7"/>
    <w:rsid w:val="00F07F24"/>
    <w:rsid w:val="00F77A27"/>
    <w:rsid w:val="00FA3893"/>
    <w:rsid w:val="00FA7104"/>
    <w:rsid w:val="00FD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813A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813A0"/>
    <w:rPr>
      <w:rFonts w:ascii="Times New Roman" w:eastAsia="Times New Roman" w:hAnsi="Times New Roman" w:cs="Times New Roman"/>
      <w:sz w:val="24"/>
      <w:szCs w:val="24"/>
    </w:rPr>
  </w:style>
  <w:style w:type="paragraph" w:customStyle="1" w:styleId="Level3Text">
    <w:name w:val="Level 3 Text"/>
    <w:basedOn w:val="Normal"/>
    <w:rsid w:val="00706AF4"/>
    <w:pPr>
      <w:spacing w:before="80" w:after="80" w:line="240" w:lineRule="auto"/>
      <w:ind w:left="1340"/>
      <w:jc w:val="both"/>
    </w:pPr>
    <w:rPr>
      <w:rFonts w:ascii="Bookman" w:eastAsia="Times New Roman" w:hAnsi="Bookman" w:cs="Times New Roman"/>
      <w:sz w:val="20"/>
      <w:szCs w:val="20"/>
    </w:rPr>
  </w:style>
  <w:style w:type="table" w:styleId="TableGrid">
    <w:name w:val="Table Grid"/>
    <w:basedOn w:val="TableNormal"/>
    <w:uiPriority w:val="59"/>
    <w:rsid w:val="008953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Typewriter">
    <w:name w:val="HTML Typewriter"/>
    <w:basedOn w:val="DefaultParagraphFont"/>
    <w:uiPriority w:val="99"/>
    <w:semiHidden/>
    <w:unhideWhenUsed/>
    <w:rsid w:val="0089537A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9537A"/>
    <w:rPr>
      <w:color w:val="002E65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EF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20EF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20EFB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813A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813A0"/>
    <w:rPr>
      <w:rFonts w:ascii="Times New Roman" w:eastAsia="Times New Roman" w:hAnsi="Times New Roman" w:cs="Times New Roman"/>
      <w:sz w:val="24"/>
      <w:szCs w:val="24"/>
    </w:rPr>
  </w:style>
  <w:style w:type="paragraph" w:customStyle="1" w:styleId="Level3Text">
    <w:name w:val="Level 3 Text"/>
    <w:basedOn w:val="Normal"/>
    <w:rsid w:val="00706AF4"/>
    <w:pPr>
      <w:spacing w:before="80" w:after="80" w:line="240" w:lineRule="auto"/>
      <w:ind w:left="1340"/>
      <w:jc w:val="both"/>
    </w:pPr>
    <w:rPr>
      <w:rFonts w:ascii="Bookman" w:eastAsia="Times New Roman" w:hAnsi="Bookman" w:cs="Times New Roman"/>
      <w:sz w:val="20"/>
      <w:szCs w:val="20"/>
    </w:rPr>
  </w:style>
  <w:style w:type="table" w:styleId="TableGrid">
    <w:name w:val="Table Grid"/>
    <w:basedOn w:val="TableNormal"/>
    <w:uiPriority w:val="59"/>
    <w:rsid w:val="008953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Typewriter">
    <w:name w:val="HTML Typewriter"/>
    <w:basedOn w:val="DefaultParagraphFont"/>
    <w:uiPriority w:val="99"/>
    <w:semiHidden/>
    <w:unhideWhenUsed/>
    <w:rsid w:val="0089537A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9537A"/>
    <w:rPr>
      <w:color w:val="002E65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EF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20EFB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20EFB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Muhammad Usman Rashid</dc:creator>
  <cp:lastModifiedBy>Dr. Muhammad Usman Rashid</cp:lastModifiedBy>
  <cp:revision>5</cp:revision>
  <cp:lastPrinted>2016-06-15T04:04:00Z</cp:lastPrinted>
  <dcterms:created xsi:type="dcterms:W3CDTF">2016-06-20T09:37:00Z</dcterms:created>
  <dcterms:modified xsi:type="dcterms:W3CDTF">2016-08-02T09:33:00Z</dcterms:modified>
</cp:coreProperties>
</file>