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3C78" w:rsidRPr="00294AE5" w:rsidRDefault="00450CAB" w:rsidP="00C93C78">
      <w:pPr>
        <w:pStyle w:val="NormalWeb"/>
        <w:spacing w:before="2" w:after="2"/>
        <w:jc w:val="both"/>
        <w:rPr>
          <w:rFonts w:asciiTheme="majorHAnsi" w:hAnsiTheme="majorHAnsi"/>
          <w:sz w:val="24"/>
          <w:lang w:val="en-US"/>
        </w:rPr>
      </w:pPr>
      <w:bookmarkStart w:id="0" w:name="_GoBack"/>
      <w:bookmarkEnd w:id="0"/>
      <w:proofErr w:type="gramStart"/>
      <w:r w:rsidRPr="00294AE5">
        <w:rPr>
          <w:rFonts w:asciiTheme="majorHAnsi" w:hAnsiTheme="majorHAnsi"/>
          <w:bCs/>
          <w:sz w:val="24"/>
          <w:szCs w:val="16"/>
          <w:lang w:val="en-US"/>
        </w:rPr>
        <w:t>Assessment of publication bias.</w:t>
      </w:r>
      <w:proofErr w:type="gramEnd"/>
      <w:r w:rsidRPr="00294AE5">
        <w:rPr>
          <w:rFonts w:asciiTheme="majorHAnsi" w:hAnsiTheme="majorHAnsi"/>
          <w:bCs/>
          <w:sz w:val="24"/>
          <w:szCs w:val="16"/>
          <w:lang w:val="en-US"/>
        </w:rPr>
        <w:t xml:space="preserve"> </w:t>
      </w:r>
      <w:r w:rsidR="00294AE5">
        <w:rPr>
          <w:rFonts w:asciiTheme="majorHAnsi" w:hAnsiTheme="majorHAnsi"/>
          <w:sz w:val="24"/>
          <w:szCs w:val="18"/>
          <w:lang w:val="en-US"/>
        </w:rPr>
        <w:t xml:space="preserve">Funnel plot for </w:t>
      </w:r>
      <w:r w:rsidR="00C93C78" w:rsidRPr="00294AE5">
        <w:rPr>
          <w:rFonts w:asciiTheme="majorHAnsi" w:hAnsiTheme="majorHAnsi" w:cs="Arial"/>
          <w:sz w:val="24"/>
          <w:lang w:val="en-US"/>
        </w:rPr>
        <w:t>objective response rates</w:t>
      </w:r>
      <w:r w:rsidR="00C93C78" w:rsidRPr="00294AE5">
        <w:rPr>
          <w:rFonts w:asciiTheme="majorHAnsi" w:hAnsiTheme="majorHAnsi"/>
          <w:sz w:val="24"/>
          <w:szCs w:val="18"/>
          <w:lang w:val="en-US"/>
        </w:rPr>
        <w:t xml:space="preserve">, </w:t>
      </w:r>
      <w:r w:rsidR="00C93C78" w:rsidRPr="00294AE5">
        <w:rPr>
          <w:rFonts w:asciiTheme="majorHAnsi" w:hAnsiTheme="majorHAnsi" w:cs="Helvetica"/>
          <w:color w:val="000000"/>
          <w:sz w:val="24"/>
          <w:szCs w:val="18"/>
          <w:lang w:val="en-US"/>
        </w:rPr>
        <w:t>progression-free survival</w:t>
      </w:r>
      <w:r w:rsidR="00C93C78" w:rsidRPr="00294AE5">
        <w:rPr>
          <w:rFonts w:asciiTheme="majorHAnsi" w:hAnsiTheme="majorHAnsi"/>
          <w:sz w:val="24"/>
          <w:szCs w:val="18"/>
          <w:lang w:val="en-US"/>
        </w:rPr>
        <w:t xml:space="preserve"> and </w:t>
      </w:r>
      <w:r w:rsidR="00C93C78" w:rsidRPr="00294AE5">
        <w:rPr>
          <w:rFonts w:asciiTheme="majorHAnsi" w:hAnsiTheme="majorHAnsi" w:cs="Arial"/>
          <w:sz w:val="24"/>
          <w:lang w:val="en-US"/>
        </w:rPr>
        <w:t xml:space="preserve">overall </w:t>
      </w:r>
      <w:r w:rsidR="00C93C78" w:rsidRPr="00294AE5">
        <w:rPr>
          <w:rFonts w:asciiTheme="majorHAnsi" w:hAnsiTheme="majorHAnsi" w:cs="Helvetica"/>
          <w:color w:val="000000"/>
          <w:sz w:val="24"/>
          <w:szCs w:val="18"/>
          <w:lang w:val="en-US"/>
        </w:rPr>
        <w:t>survival</w:t>
      </w:r>
      <w:r w:rsidR="00C93C78" w:rsidRPr="00294AE5">
        <w:rPr>
          <w:rFonts w:asciiTheme="majorHAnsi" w:hAnsiTheme="majorHAnsi"/>
          <w:sz w:val="24"/>
          <w:szCs w:val="18"/>
          <w:lang w:val="en-US"/>
        </w:rPr>
        <w:t xml:space="preserve"> in this meta-analysis. </w:t>
      </w:r>
    </w:p>
    <w:p w:rsidR="00450CAB" w:rsidRPr="00294AE5" w:rsidRDefault="00450CAB" w:rsidP="00450CAB">
      <w:pPr>
        <w:pStyle w:val="NormalWeb"/>
        <w:spacing w:before="2" w:after="2"/>
        <w:jc w:val="both"/>
        <w:rPr>
          <w:rFonts w:asciiTheme="majorHAnsi" w:hAnsiTheme="majorHAnsi"/>
          <w:sz w:val="24"/>
          <w:lang w:val="en-US"/>
        </w:rPr>
      </w:pPr>
    </w:p>
    <w:p w:rsidR="00450CAB" w:rsidRPr="00294AE5" w:rsidRDefault="00450CAB">
      <w:pPr>
        <w:rPr>
          <w:rFonts w:asciiTheme="majorHAnsi" w:hAnsiTheme="majorHAnsi" w:cs="Arial"/>
          <w:b/>
          <w:highlight w:val="green"/>
          <w:lang w:val="en-US"/>
        </w:rPr>
      </w:pPr>
    </w:p>
    <w:p w:rsidR="00450CAB" w:rsidRPr="00294AE5" w:rsidRDefault="00450CAB">
      <w:pPr>
        <w:rPr>
          <w:rFonts w:asciiTheme="majorHAnsi" w:hAnsiTheme="majorHAnsi" w:cs="Arial"/>
          <w:b/>
          <w:highlight w:val="green"/>
          <w:lang w:val="en-US"/>
        </w:rPr>
      </w:pPr>
      <w:r w:rsidRPr="00294AE5">
        <w:rPr>
          <w:rFonts w:asciiTheme="majorHAnsi" w:hAnsiTheme="majorHAnsi" w:cs="Arial"/>
          <w:b/>
          <w:noProof/>
          <w:lang w:val="en-GB" w:eastAsia="en-GB"/>
        </w:rPr>
        <w:drawing>
          <wp:inline distT="0" distB="0" distL="0" distR="0" wp14:anchorId="0AE3ED29" wp14:editId="650DEBE6">
            <wp:extent cx="5270500" cy="3990957"/>
            <wp:effectExtent l="0" t="0" r="0" b="0"/>
            <wp:docPr id="4" name="Picture 2" descr=":Funnel plot (tx de resposta.p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:Funnel plot (tx de resposta.pdf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0" cy="39909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50CAB" w:rsidRPr="00294AE5" w:rsidRDefault="00450CAB" w:rsidP="00450CAB">
      <w:pPr>
        <w:pStyle w:val="NormalWeb"/>
        <w:spacing w:before="2" w:after="2"/>
        <w:jc w:val="both"/>
        <w:rPr>
          <w:rFonts w:asciiTheme="majorHAnsi" w:hAnsiTheme="majorHAnsi"/>
          <w:sz w:val="24"/>
          <w:lang w:val="en-US"/>
        </w:rPr>
      </w:pPr>
      <w:r w:rsidRPr="00294AE5">
        <w:rPr>
          <w:rFonts w:asciiTheme="majorHAnsi" w:hAnsiTheme="majorHAnsi" w:cs="Arial"/>
          <w:sz w:val="24"/>
          <w:lang w:val="en-US"/>
        </w:rPr>
        <w:t xml:space="preserve">1 - </w:t>
      </w:r>
      <w:r w:rsidR="0000449F" w:rsidRPr="00294AE5">
        <w:rPr>
          <w:rFonts w:asciiTheme="majorHAnsi" w:hAnsiTheme="majorHAnsi" w:cs="Arial"/>
          <w:sz w:val="24"/>
          <w:lang w:val="en-US"/>
        </w:rPr>
        <w:t>Objective response rates</w:t>
      </w:r>
      <w:r w:rsidRPr="00294AE5">
        <w:rPr>
          <w:rFonts w:asciiTheme="majorHAnsi" w:hAnsiTheme="majorHAnsi" w:cs="Arial"/>
          <w:sz w:val="24"/>
          <w:lang w:val="en-US"/>
        </w:rPr>
        <w:t xml:space="preserve">: </w:t>
      </w:r>
      <w:r w:rsidRPr="00294AE5">
        <w:rPr>
          <w:rFonts w:asciiTheme="majorHAnsi" w:hAnsiTheme="majorHAnsi"/>
          <w:bCs/>
          <w:sz w:val="24"/>
          <w:szCs w:val="16"/>
          <w:lang w:val="en-US"/>
        </w:rPr>
        <w:t xml:space="preserve">All studies are evenly distributed on both sides, thus presenting basic symmetry and indicating that there was no publication bias. </w:t>
      </w:r>
    </w:p>
    <w:p w:rsidR="0000449F" w:rsidRPr="00294AE5" w:rsidRDefault="0000449F">
      <w:pPr>
        <w:rPr>
          <w:rFonts w:asciiTheme="majorHAnsi" w:hAnsiTheme="majorHAnsi" w:cs="Helvetica"/>
          <w:b/>
          <w:color w:val="000000"/>
          <w:szCs w:val="18"/>
          <w:highlight w:val="green"/>
          <w:lang w:val="en-US"/>
        </w:rPr>
      </w:pPr>
    </w:p>
    <w:p w:rsidR="0000449F" w:rsidRPr="00294AE5" w:rsidRDefault="0000449F">
      <w:pPr>
        <w:rPr>
          <w:rFonts w:asciiTheme="majorHAnsi" w:hAnsiTheme="majorHAnsi" w:cs="Helvetica"/>
          <w:b/>
          <w:color w:val="000000"/>
          <w:szCs w:val="18"/>
          <w:highlight w:val="green"/>
          <w:lang w:val="en-US"/>
        </w:rPr>
      </w:pPr>
    </w:p>
    <w:p w:rsidR="0000449F" w:rsidRPr="00294AE5" w:rsidRDefault="0000449F">
      <w:pPr>
        <w:rPr>
          <w:rFonts w:asciiTheme="majorHAnsi" w:hAnsiTheme="majorHAnsi" w:cs="Helvetica"/>
          <w:b/>
          <w:color w:val="000000"/>
          <w:szCs w:val="18"/>
          <w:highlight w:val="green"/>
          <w:lang w:val="en-US"/>
        </w:rPr>
      </w:pPr>
      <w:r w:rsidRPr="00294AE5">
        <w:rPr>
          <w:rFonts w:asciiTheme="majorHAnsi" w:hAnsiTheme="majorHAnsi" w:cs="Helvetica"/>
          <w:b/>
          <w:noProof/>
          <w:color w:val="000000"/>
          <w:szCs w:val="18"/>
          <w:lang w:val="en-GB" w:eastAsia="en-GB"/>
        </w:rPr>
        <w:lastRenderedPageBreak/>
        <w:drawing>
          <wp:inline distT="0" distB="0" distL="0" distR="0" wp14:anchorId="621FC49F" wp14:editId="77C70171">
            <wp:extent cx="5273040" cy="3769360"/>
            <wp:effectExtent l="0" t="0" r="0" b="0"/>
            <wp:docPr id="1" name="Picture 1" descr=":Funnel plot (SVLP).p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:Funnel plot (SVLP).pdf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040" cy="37693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50CAB" w:rsidRPr="00294AE5" w:rsidRDefault="00450CAB" w:rsidP="00450CAB">
      <w:pPr>
        <w:pStyle w:val="NormalWeb"/>
        <w:spacing w:before="2" w:after="2"/>
        <w:jc w:val="both"/>
        <w:rPr>
          <w:rFonts w:asciiTheme="majorHAnsi" w:hAnsiTheme="majorHAnsi"/>
          <w:bCs/>
          <w:sz w:val="24"/>
          <w:szCs w:val="16"/>
          <w:lang w:val="en-US"/>
        </w:rPr>
      </w:pPr>
      <w:r w:rsidRPr="00294AE5">
        <w:rPr>
          <w:rFonts w:asciiTheme="majorHAnsi" w:hAnsiTheme="majorHAnsi" w:cs="Helvetica"/>
          <w:color w:val="000000"/>
          <w:sz w:val="24"/>
          <w:szCs w:val="18"/>
          <w:lang w:val="en-US"/>
        </w:rPr>
        <w:t xml:space="preserve">2 </w:t>
      </w:r>
      <w:r w:rsidRPr="00294AE5">
        <w:rPr>
          <w:rFonts w:asciiTheme="majorHAnsi" w:hAnsiTheme="majorHAnsi" w:cs="Arial"/>
          <w:sz w:val="24"/>
          <w:lang w:val="en-US"/>
        </w:rPr>
        <w:t xml:space="preserve">- </w:t>
      </w:r>
      <w:r w:rsidRPr="00294AE5">
        <w:rPr>
          <w:rFonts w:asciiTheme="majorHAnsi" w:hAnsiTheme="majorHAnsi" w:cs="Helvetica"/>
          <w:color w:val="000000"/>
          <w:sz w:val="24"/>
          <w:szCs w:val="18"/>
          <w:lang w:val="en-US"/>
        </w:rPr>
        <w:t>Progression-free survival</w:t>
      </w:r>
      <w:r w:rsidRPr="00294AE5">
        <w:rPr>
          <w:rFonts w:asciiTheme="majorHAnsi" w:hAnsiTheme="majorHAnsi" w:cs="Arial"/>
          <w:sz w:val="24"/>
          <w:lang w:val="en-US"/>
        </w:rPr>
        <w:t xml:space="preserve">: </w:t>
      </w:r>
      <w:r w:rsidRPr="00294AE5">
        <w:rPr>
          <w:rFonts w:asciiTheme="majorHAnsi" w:hAnsiTheme="majorHAnsi"/>
          <w:bCs/>
          <w:sz w:val="24"/>
          <w:szCs w:val="16"/>
          <w:lang w:val="en-US"/>
        </w:rPr>
        <w:t xml:space="preserve">All studies are evenly distributed on both sides, thus presenting basic symmetry and indicating that there was no publication bias. </w:t>
      </w:r>
    </w:p>
    <w:p w:rsidR="00450CAB" w:rsidRPr="00294AE5" w:rsidRDefault="00450CAB" w:rsidP="00450CAB">
      <w:pPr>
        <w:pStyle w:val="NormalWeb"/>
        <w:spacing w:before="2" w:after="2"/>
        <w:jc w:val="both"/>
        <w:rPr>
          <w:rFonts w:asciiTheme="majorHAnsi" w:hAnsiTheme="majorHAnsi"/>
          <w:sz w:val="24"/>
          <w:lang w:val="en-US"/>
        </w:rPr>
      </w:pPr>
      <w:r w:rsidRPr="00294AE5">
        <w:rPr>
          <w:rFonts w:asciiTheme="majorHAnsi" w:hAnsiTheme="majorHAnsi"/>
          <w:bCs/>
          <w:sz w:val="24"/>
          <w:szCs w:val="16"/>
          <w:lang w:val="en-US"/>
        </w:rPr>
        <w:br w:type="page"/>
      </w:r>
    </w:p>
    <w:p w:rsidR="0000449F" w:rsidRPr="00294AE5" w:rsidRDefault="0000449F">
      <w:pPr>
        <w:rPr>
          <w:rFonts w:asciiTheme="majorHAnsi" w:hAnsiTheme="majorHAnsi" w:cs="Helvetica"/>
          <w:b/>
          <w:color w:val="000000"/>
          <w:szCs w:val="18"/>
          <w:lang w:val="en-US"/>
        </w:rPr>
      </w:pPr>
    </w:p>
    <w:p w:rsidR="0000449F" w:rsidRPr="00294AE5" w:rsidRDefault="0000449F">
      <w:pPr>
        <w:rPr>
          <w:rFonts w:asciiTheme="majorHAnsi" w:hAnsiTheme="majorHAnsi" w:cs="Helvetica"/>
          <w:b/>
          <w:color w:val="000000"/>
          <w:szCs w:val="18"/>
          <w:lang w:val="en-US"/>
        </w:rPr>
      </w:pPr>
      <w:r w:rsidRPr="00294AE5">
        <w:rPr>
          <w:rFonts w:asciiTheme="majorHAnsi" w:hAnsiTheme="majorHAnsi" w:cs="Helvetica"/>
          <w:b/>
          <w:noProof/>
          <w:color w:val="000000"/>
          <w:szCs w:val="18"/>
          <w:lang w:val="en-GB" w:eastAsia="en-GB"/>
        </w:rPr>
        <w:drawing>
          <wp:inline distT="0" distB="0" distL="0" distR="0" wp14:anchorId="288F4BA8" wp14:editId="1C562C66">
            <wp:extent cx="5273040" cy="3982720"/>
            <wp:effectExtent l="25400" t="0" r="0" b="0"/>
            <wp:docPr id="3" name="Picture 3" descr=":Funnel plot (SVG).p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:Funnel plot (SVG).pdf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040" cy="39827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50CAB" w:rsidRPr="00294AE5" w:rsidRDefault="00450CAB" w:rsidP="00450CAB">
      <w:pPr>
        <w:pStyle w:val="NormalWeb"/>
        <w:spacing w:before="2" w:after="2"/>
        <w:jc w:val="both"/>
        <w:rPr>
          <w:rFonts w:asciiTheme="majorHAnsi" w:hAnsiTheme="majorHAnsi"/>
          <w:sz w:val="24"/>
          <w:lang w:val="en-US"/>
        </w:rPr>
      </w:pPr>
      <w:r w:rsidRPr="00294AE5">
        <w:rPr>
          <w:rFonts w:asciiTheme="majorHAnsi" w:hAnsiTheme="majorHAnsi" w:cs="Arial"/>
          <w:sz w:val="24"/>
          <w:lang w:val="en-US"/>
        </w:rPr>
        <w:t xml:space="preserve">3 - </w:t>
      </w:r>
      <w:r w:rsidR="0000449F" w:rsidRPr="00294AE5">
        <w:rPr>
          <w:rFonts w:asciiTheme="majorHAnsi" w:hAnsiTheme="majorHAnsi" w:cs="Arial"/>
          <w:sz w:val="24"/>
          <w:lang w:val="en-US"/>
        </w:rPr>
        <w:t>Overall</w:t>
      </w:r>
      <w:r w:rsidRPr="00294AE5">
        <w:rPr>
          <w:rFonts w:asciiTheme="majorHAnsi" w:hAnsiTheme="majorHAnsi" w:cs="Arial"/>
          <w:sz w:val="24"/>
          <w:lang w:val="en-US"/>
        </w:rPr>
        <w:t xml:space="preserve"> </w:t>
      </w:r>
      <w:r w:rsidRPr="00294AE5">
        <w:rPr>
          <w:rFonts w:asciiTheme="majorHAnsi" w:hAnsiTheme="majorHAnsi" w:cs="Helvetica"/>
          <w:color w:val="000000"/>
          <w:sz w:val="24"/>
          <w:szCs w:val="18"/>
          <w:lang w:val="en-US"/>
        </w:rPr>
        <w:t>survival</w:t>
      </w:r>
      <w:r w:rsidRPr="00294AE5">
        <w:rPr>
          <w:rFonts w:asciiTheme="majorHAnsi" w:hAnsiTheme="majorHAnsi" w:cs="Arial"/>
          <w:sz w:val="24"/>
          <w:lang w:val="en-US"/>
        </w:rPr>
        <w:t xml:space="preserve">: </w:t>
      </w:r>
      <w:r w:rsidRPr="00294AE5">
        <w:rPr>
          <w:rFonts w:asciiTheme="majorHAnsi" w:hAnsiTheme="majorHAnsi"/>
          <w:bCs/>
          <w:sz w:val="24"/>
          <w:szCs w:val="16"/>
          <w:lang w:val="en-US"/>
        </w:rPr>
        <w:t xml:space="preserve">All studies are evenly distributed on both sides, thus presenting basic symmetry and indicating that there was no publication bias. </w:t>
      </w:r>
    </w:p>
    <w:p w:rsidR="00DA1512" w:rsidRPr="00294AE5" w:rsidRDefault="007076D7">
      <w:pPr>
        <w:rPr>
          <w:lang w:val="en-US"/>
        </w:rPr>
      </w:pPr>
    </w:p>
    <w:sectPr w:rsidR="00DA1512" w:rsidRPr="00294AE5" w:rsidSect="00261AB9">
      <w:pgSz w:w="11900" w:h="16840"/>
      <w:pgMar w:top="1440" w:right="1800" w:bottom="1440" w:left="18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0706"/>
    <w:rsid w:val="0000449F"/>
    <w:rsid w:val="000C0706"/>
    <w:rsid w:val="00294AE5"/>
    <w:rsid w:val="00450CAB"/>
    <w:rsid w:val="006C7684"/>
    <w:rsid w:val="007076D7"/>
    <w:rsid w:val="00806B88"/>
    <w:rsid w:val="00C93C78"/>
    <w:rsid w:val="00E33627"/>
    <w:rsid w:val="00F2385C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B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pt-BR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151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450CAB"/>
    <w:pPr>
      <w:spacing w:beforeLines="1" w:afterLines="1"/>
    </w:pPr>
    <w:rPr>
      <w:rFonts w:ascii="Times" w:hAnsi="Times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4AE5"/>
    <w:pPr>
      <w:spacing w:after="0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4AE5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pt-BR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151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450CAB"/>
    <w:pPr>
      <w:spacing w:beforeLines="1" w:afterLines="1"/>
    </w:pPr>
    <w:rPr>
      <w:rFonts w:ascii="Times" w:hAnsi="Times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4AE5"/>
    <w:pPr>
      <w:spacing w:after="0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4AE5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068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269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6690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7668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1252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8717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68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611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3563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95</Words>
  <Characters>546</Characters>
  <Application>Microsoft Office Word</Application>
  <DocSecurity>4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Springer-SBM</Company>
  <LinksUpToDate>false</LinksUpToDate>
  <CharactersWithSpaces>640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Tobias Engel</dc:creator>
  <cp:lastModifiedBy>Jessica McHugh</cp:lastModifiedBy>
  <cp:revision>2</cp:revision>
  <dcterms:created xsi:type="dcterms:W3CDTF">2016-08-19T16:15:00Z</dcterms:created>
  <dcterms:modified xsi:type="dcterms:W3CDTF">2016-08-19T16:15:00Z</dcterms:modified>
</cp:coreProperties>
</file>