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7B3E" w:rsidRPr="009D6AC2" w:rsidRDefault="003E7B3E" w:rsidP="003E7B3E">
      <w:pPr>
        <w:pStyle w:val="a3"/>
        <w:spacing w:line="360" w:lineRule="auto"/>
        <w:jc w:val="left"/>
        <w:rPr>
          <w:sz w:val="22"/>
          <w:szCs w:val="22"/>
        </w:rPr>
      </w:pPr>
      <w:bookmarkStart w:id="0" w:name="_Ref448213929"/>
      <w:r w:rsidRPr="009D6AC2">
        <w:rPr>
          <w:sz w:val="22"/>
          <w:szCs w:val="22"/>
        </w:rPr>
        <w:t>Table S</w:t>
      </w:r>
      <w:r w:rsidRPr="009D6AC2">
        <w:rPr>
          <w:sz w:val="22"/>
          <w:szCs w:val="22"/>
        </w:rPr>
        <w:fldChar w:fldCharType="begin"/>
      </w:r>
      <w:r w:rsidRPr="009D6AC2">
        <w:rPr>
          <w:sz w:val="22"/>
          <w:szCs w:val="22"/>
        </w:rPr>
        <w:instrText xml:space="preserve"> SEQ Table_S \* ARABIC </w:instrText>
      </w:r>
      <w:r w:rsidRPr="009D6AC2">
        <w:rPr>
          <w:sz w:val="22"/>
          <w:szCs w:val="22"/>
        </w:rPr>
        <w:fldChar w:fldCharType="separate"/>
      </w:r>
      <w:r w:rsidRPr="009D6AC2">
        <w:rPr>
          <w:sz w:val="22"/>
          <w:szCs w:val="22"/>
        </w:rPr>
        <w:t>1</w:t>
      </w:r>
      <w:r w:rsidRPr="009D6AC2">
        <w:rPr>
          <w:sz w:val="22"/>
          <w:szCs w:val="22"/>
        </w:rPr>
        <w:fldChar w:fldCharType="end"/>
      </w:r>
      <w:bookmarkEnd w:id="0"/>
      <w:r w:rsidRPr="009D6AC2">
        <w:rPr>
          <w:sz w:val="22"/>
          <w:szCs w:val="22"/>
        </w:rPr>
        <w:t>. Univariate and multivariate analyses of factors associated with overall survival in BCLC stage 0 patients (</w:t>
      </w:r>
      <w:r w:rsidRPr="009D6AC2">
        <w:rPr>
          <w:i/>
          <w:sz w:val="22"/>
          <w:szCs w:val="22"/>
        </w:rPr>
        <w:t>n</w:t>
      </w:r>
      <w:r w:rsidRPr="009D6AC2">
        <w:rPr>
          <w:sz w:val="22"/>
          <w:szCs w:val="22"/>
        </w:rPr>
        <w:t xml:space="preserve"> = 194) in the discovery cohort</w:t>
      </w:r>
    </w:p>
    <w:tbl>
      <w:tblPr>
        <w:tblW w:w="0" w:type="auto"/>
        <w:jc w:val="center"/>
        <w:tblBorders>
          <w:top w:val="single" w:sz="12" w:space="0" w:color="auto"/>
          <w:bottom w:val="single" w:sz="12" w:space="0" w:color="auto"/>
        </w:tblBorders>
        <w:tblLook w:val="01E0" w:firstRow="1" w:lastRow="1" w:firstColumn="1" w:lastColumn="1" w:noHBand="0" w:noVBand="0"/>
      </w:tblPr>
      <w:tblGrid>
        <w:gridCol w:w="3470"/>
        <w:gridCol w:w="1522"/>
        <w:gridCol w:w="931"/>
        <w:gridCol w:w="1424"/>
        <w:gridCol w:w="959"/>
      </w:tblGrid>
      <w:tr w:rsidR="003E7B3E" w:rsidRPr="009D6AC2" w:rsidTr="00744760">
        <w:trPr>
          <w:trHeight w:val="656"/>
          <w:jc w:val="center"/>
        </w:trPr>
        <w:tc>
          <w:tcPr>
            <w:tcW w:w="3470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:rsidR="003E7B3E" w:rsidRPr="009D6AC2" w:rsidRDefault="003E7B3E" w:rsidP="00744760">
            <w:pPr>
              <w:keepNext/>
              <w:keepLines/>
              <w:spacing w:line="360" w:lineRule="auto"/>
              <w:jc w:val="left"/>
              <w:outlineLvl w:val="0"/>
              <w:rPr>
                <w:b/>
                <w:kern w:val="0"/>
                <w:sz w:val="22"/>
              </w:rPr>
            </w:pPr>
            <w:r w:rsidRPr="009D6AC2">
              <w:rPr>
                <w:b/>
                <w:kern w:val="0"/>
                <w:sz w:val="22"/>
              </w:rPr>
              <w:t>Features</w:t>
            </w:r>
          </w:p>
        </w:tc>
        <w:tc>
          <w:tcPr>
            <w:tcW w:w="4836" w:type="dxa"/>
            <w:gridSpan w:val="4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3E7B3E" w:rsidRPr="009D6AC2" w:rsidRDefault="003E7B3E" w:rsidP="00744760">
            <w:pPr>
              <w:keepNext/>
              <w:keepLines/>
              <w:spacing w:line="360" w:lineRule="auto"/>
              <w:jc w:val="center"/>
              <w:outlineLvl w:val="0"/>
              <w:rPr>
                <w:b/>
                <w:kern w:val="0"/>
                <w:sz w:val="22"/>
              </w:rPr>
            </w:pPr>
            <w:r w:rsidRPr="009D6AC2">
              <w:rPr>
                <w:b/>
                <w:kern w:val="0"/>
                <w:sz w:val="22"/>
              </w:rPr>
              <w:t>Overall survival</w:t>
            </w:r>
          </w:p>
        </w:tc>
      </w:tr>
      <w:tr w:rsidR="003E7B3E" w:rsidRPr="009D6AC2" w:rsidTr="00744760">
        <w:trPr>
          <w:trHeight w:val="656"/>
          <w:jc w:val="center"/>
        </w:trPr>
        <w:tc>
          <w:tcPr>
            <w:tcW w:w="3470" w:type="dxa"/>
            <w:vMerge/>
            <w:tcBorders>
              <w:top w:val="nil"/>
              <w:bottom w:val="nil"/>
            </w:tcBorders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b/>
                <w:kern w:val="0"/>
                <w:sz w:val="22"/>
              </w:rPr>
            </w:pPr>
          </w:p>
        </w:tc>
        <w:tc>
          <w:tcPr>
            <w:tcW w:w="1522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b/>
                <w:kern w:val="0"/>
                <w:sz w:val="22"/>
              </w:rPr>
            </w:pPr>
            <w:r w:rsidRPr="009D6AC2">
              <w:rPr>
                <w:b/>
                <w:kern w:val="0"/>
                <w:sz w:val="22"/>
              </w:rPr>
              <w:t xml:space="preserve">Univariate, </w:t>
            </w:r>
            <w:r w:rsidRPr="009D6AC2">
              <w:rPr>
                <w:b/>
                <w:i/>
                <w:kern w:val="0"/>
                <w:sz w:val="22"/>
              </w:rPr>
              <w:t>P</w:t>
            </w:r>
            <w:r w:rsidRPr="009D6AC2">
              <w:rPr>
                <w:b/>
                <w:iCs/>
                <w:kern w:val="0"/>
                <w:sz w:val="22"/>
              </w:rPr>
              <w:t xml:space="preserve"> </w:t>
            </w:r>
          </w:p>
        </w:tc>
        <w:tc>
          <w:tcPr>
            <w:tcW w:w="331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E7B3E" w:rsidRPr="009D6AC2" w:rsidRDefault="003E7B3E" w:rsidP="00744760">
            <w:pPr>
              <w:spacing w:line="360" w:lineRule="auto"/>
              <w:jc w:val="center"/>
              <w:rPr>
                <w:b/>
                <w:kern w:val="0"/>
                <w:sz w:val="22"/>
              </w:rPr>
            </w:pPr>
            <w:r w:rsidRPr="009D6AC2">
              <w:rPr>
                <w:b/>
                <w:kern w:val="0"/>
                <w:sz w:val="22"/>
              </w:rPr>
              <w:t>Multivariate</w:t>
            </w:r>
          </w:p>
        </w:tc>
      </w:tr>
      <w:tr w:rsidR="003E7B3E" w:rsidRPr="009D6AC2" w:rsidTr="00744760">
        <w:trPr>
          <w:trHeight w:val="656"/>
          <w:jc w:val="center"/>
        </w:trPr>
        <w:tc>
          <w:tcPr>
            <w:tcW w:w="3470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b/>
                <w:kern w:val="0"/>
                <w:sz w:val="22"/>
              </w:rPr>
            </w:pPr>
          </w:p>
        </w:tc>
        <w:tc>
          <w:tcPr>
            <w:tcW w:w="1522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b/>
                <w:kern w:val="0"/>
                <w:sz w:val="22"/>
              </w:rPr>
            </w:pPr>
          </w:p>
        </w:tc>
        <w:tc>
          <w:tcPr>
            <w:tcW w:w="931" w:type="dxa"/>
            <w:tcBorders>
              <w:top w:val="nil"/>
              <w:bottom w:val="single" w:sz="4" w:space="0" w:color="auto"/>
            </w:tcBorders>
          </w:tcPr>
          <w:p w:rsidR="003E7B3E" w:rsidRPr="009D6AC2" w:rsidRDefault="003E7B3E" w:rsidP="00744760">
            <w:pPr>
              <w:spacing w:line="360" w:lineRule="auto"/>
              <w:jc w:val="left"/>
              <w:rPr>
                <w:b/>
                <w:kern w:val="0"/>
                <w:sz w:val="22"/>
              </w:rPr>
            </w:pPr>
            <w:r w:rsidRPr="009D6AC2">
              <w:rPr>
                <w:b/>
                <w:kern w:val="0"/>
                <w:sz w:val="22"/>
              </w:rPr>
              <w:t>HR</w:t>
            </w:r>
          </w:p>
        </w:tc>
        <w:tc>
          <w:tcPr>
            <w:tcW w:w="1424" w:type="dxa"/>
            <w:tcBorders>
              <w:top w:val="nil"/>
              <w:bottom w:val="single" w:sz="4" w:space="0" w:color="auto"/>
            </w:tcBorders>
          </w:tcPr>
          <w:p w:rsidR="003E7B3E" w:rsidRPr="009D6AC2" w:rsidRDefault="003E7B3E" w:rsidP="00744760">
            <w:pPr>
              <w:spacing w:line="360" w:lineRule="auto"/>
              <w:jc w:val="left"/>
              <w:rPr>
                <w:b/>
                <w:kern w:val="0"/>
                <w:sz w:val="22"/>
              </w:rPr>
            </w:pPr>
            <w:r w:rsidRPr="009D6AC2">
              <w:rPr>
                <w:b/>
                <w:kern w:val="0"/>
                <w:sz w:val="22"/>
              </w:rPr>
              <w:t>95% CI</w:t>
            </w:r>
          </w:p>
        </w:tc>
        <w:tc>
          <w:tcPr>
            <w:tcW w:w="959" w:type="dxa"/>
            <w:tcBorders>
              <w:top w:val="nil"/>
              <w:bottom w:val="single" w:sz="4" w:space="0" w:color="auto"/>
            </w:tcBorders>
          </w:tcPr>
          <w:p w:rsidR="003E7B3E" w:rsidRPr="009D6AC2" w:rsidRDefault="003E7B3E" w:rsidP="00744760">
            <w:pPr>
              <w:spacing w:line="360" w:lineRule="auto"/>
              <w:jc w:val="left"/>
              <w:rPr>
                <w:b/>
                <w:i/>
                <w:kern w:val="0"/>
                <w:sz w:val="22"/>
              </w:rPr>
            </w:pPr>
            <w:r w:rsidRPr="009D6AC2">
              <w:rPr>
                <w:b/>
                <w:i/>
                <w:kern w:val="0"/>
                <w:sz w:val="22"/>
              </w:rPr>
              <w:t>P</w:t>
            </w:r>
          </w:p>
        </w:tc>
      </w:tr>
      <w:tr w:rsidR="003E7B3E" w:rsidRPr="009D6AC2" w:rsidTr="00744760">
        <w:trPr>
          <w:trHeight w:val="283"/>
          <w:jc w:val="center"/>
        </w:trPr>
        <w:tc>
          <w:tcPr>
            <w:tcW w:w="34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 xml:space="preserve">Age, &gt;52 vs. </w:t>
            </w:r>
            <w:r w:rsidRPr="009D6AC2">
              <w:rPr>
                <w:rFonts w:hint="eastAsia"/>
                <w:kern w:val="0"/>
                <w:sz w:val="22"/>
              </w:rPr>
              <w:t>≤</w:t>
            </w:r>
            <w:r w:rsidRPr="009D6AC2">
              <w:rPr>
                <w:rFonts w:hint="eastAsia"/>
                <w:kern w:val="0"/>
                <w:sz w:val="22"/>
              </w:rPr>
              <w:t>52</w:t>
            </w:r>
            <w:r w:rsidRPr="009D6AC2">
              <w:rPr>
                <w:kern w:val="0"/>
                <w:sz w:val="22"/>
              </w:rPr>
              <w:t xml:space="preserve"> y</w:t>
            </w:r>
          </w:p>
        </w:tc>
        <w:tc>
          <w:tcPr>
            <w:tcW w:w="15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0.046</w:t>
            </w:r>
          </w:p>
        </w:tc>
        <w:tc>
          <w:tcPr>
            <w:tcW w:w="931" w:type="dxa"/>
            <w:tcBorders>
              <w:top w:val="single" w:sz="4" w:space="0" w:color="auto"/>
            </w:tcBorders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1.933</w:t>
            </w:r>
          </w:p>
        </w:tc>
        <w:tc>
          <w:tcPr>
            <w:tcW w:w="1424" w:type="dxa"/>
            <w:tcBorders>
              <w:top w:val="single" w:sz="4" w:space="0" w:color="auto"/>
            </w:tcBorders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1.003–3.725</w:t>
            </w:r>
          </w:p>
        </w:tc>
        <w:tc>
          <w:tcPr>
            <w:tcW w:w="959" w:type="dxa"/>
            <w:tcBorders>
              <w:top w:val="single" w:sz="4" w:space="0" w:color="auto"/>
            </w:tcBorders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0.049</w:t>
            </w:r>
          </w:p>
        </w:tc>
      </w:tr>
      <w:tr w:rsidR="003E7B3E" w:rsidRPr="009D6AC2" w:rsidTr="00744760">
        <w:trPr>
          <w:trHeight w:val="283"/>
          <w:jc w:val="center"/>
        </w:trPr>
        <w:tc>
          <w:tcPr>
            <w:tcW w:w="3470" w:type="dxa"/>
            <w:shd w:val="clear" w:color="auto" w:fill="auto"/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Gender, female vs. male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0.265</w:t>
            </w:r>
          </w:p>
        </w:tc>
        <w:tc>
          <w:tcPr>
            <w:tcW w:w="931" w:type="dxa"/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</w:p>
        </w:tc>
        <w:tc>
          <w:tcPr>
            <w:tcW w:w="1424" w:type="dxa"/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</w:p>
        </w:tc>
        <w:tc>
          <w:tcPr>
            <w:tcW w:w="959" w:type="dxa"/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NA</w:t>
            </w:r>
          </w:p>
        </w:tc>
      </w:tr>
      <w:tr w:rsidR="003E7B3E" w:rsidRPr="009D6AC2" w:rsidTr="00744760">
        <w:trPr>
          <w:trHeight w:val="283"/>
          <w:jc w:val="center"/>
        </w:trPr>
        <w:tc>
          <w:tcPr>
            <w:tcW w:w="3470" w:type="dxa"/>
            <w:shd w:val="clear" w:color="auto" w:fill="auto"/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Hepatitis B history, yes vs. no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0.032</w:t>
            </w:r>
          </w:p>
        </w:tc>
        <w:tc>
          <w:tcPr>
            <w:tcW w:w="931" w:type="dxa"/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</w:p>
        </w:tc>
        <w:tc>
          <w:tcPr>
            <w:tcW w:w="1424" w:type="dxa"/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</w:p>
        </w:tc>
        <w:tc>
          <w:tcPr>
            <w:tcW w:w="959" w:type="dxa"/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NS</w:t>
            </w:r>
          </w:p>
        </w:tc>
      </w:tr>
      <w:tr w:rsidR="003E7B3E" w:rsidRPr="009D6AC2" w:rsidTr="00744760">
        <w:trPr>
          <w:trHeight w:val="283"/>
          <w:jc w:val="center"/>
        </w:trPr>
        <w:tc>
          <w:tcPr>
            <w:tcW w:w="3470" w:type="dxa"/>
            <w:shd w:val="clear" w:color="auto" w:fill="auto"/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Liver cirrhosis, yes vs. no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0.350</w:t>
            </w:r>
          </w:p>
        </w:tc>
        <w:tc>
          <w:tcPr>
            <w:tcW w:w="931" w:type="dxa"/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</w:p>
        </w:tc>
        <w:tc>
          <w:tcPr>
            <w:tcW w:w="1424" w:type="dxa"/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</w:p>
        </w:tc>
        <w:tc>
          <w:tcPr>
            <w:tcW w:w="959" w:type="dxa"/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NA</w:t>
            </w:r>
          </w:p>
        </w:tc>
      </w:tr>
      <w:tr w:rsidR="003E7B3E" w:rsidRPr="009D6AC2" w:rsidTr="00744760">
        <w:trPr>
          <w:trHeight w:val="283"/>
          <w:jc w:val="center"/>
        </w:trPr>
        <w:tc>
          <w:tcPr>
            <w:tcW w:w="3470" w:type="dxa"/>
            <w:shd w:val="clear" w:color="auto" w:fill="auto"/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rFonts w:hint="eastAsia"/>
                <w:kern w:val="0"/>
                <w:sz w:val="22"/>
              </w:rPr>
              <w:t>α</w:t>
            </w:r>
            <w:r w:rsidRPr="009D6AC2">
              <w:rPr>
                <w:rFonts w:hint="eastAsia"/>
                <w:kern w:val="0"/>
                <w:sz w:val="22"/>
              </w:rPr>
              <w:t xml:space="preserve">-Fetoprotein, &gt;200 vs. </w:t>
            </w:r>
            <w:r w:rsidRPr="009D6AC2">
              <w:rPr>
                <w:rFonts w:hint="eastAsia"/>
                <w:kern w:val="0"/>
                <w:sz w:val="22"/>
              </w:rPr>
              <w:t>≤</w:t>
            </w:r>
            <w:r w:rsidRPr="009D6AC2">
              <w:rPr>
                <w:rFonts w:hint="eastAsia"/>
                <w:kern w:val="0"/>
                <w:sz w:val="22"/>
              </w:rPr>
              <w:t>200 ng/</w:t>
            </w:r>
            <w:proofErr w:type="spellStart"/>
            <w:r w:rsidRPr="009D6AC2">
              <w:rPr>
                <w:rFonts w:hint="eastAsia"/>
                <w:kern w:val="0"/>
                <w:sz w:val="22"/>
              </w:rPr>
              <w:t>dL</w:t>
            </w:r>
            <w:proofErr w:type="spellEnd"/>
            <w:r w:rsidRPr="009D6AC2">
              <w:rPr>
                <w:rFonts w:hint="eastAsia"/>
                <w:kern w:val="0"/>
                <w:sz w:val="22"/>
              </w:rPr>
              <w:t xml:space="preserve"> 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0.023</w:t>
            </w:r>
          </w:p>
        </w:tc>
        <w:tc>
          <w:tcPr>
            <w:tcW w:w="931" w:type="dxa"/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</w:p>
        </w:tc>
        <w:tc>
          <w:tcPr>
            <w:tcW w:w="1424" w:type="dxa"/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</w:p>
        </w:tc>
        <w:tc>
          <w:tcPr>
            <w:tcW w:w="959" w:type="dxa"/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NS</w:t>
            </w:r>
          </w:p>
        </w:tc>
      </w:tr>
      <w:tr w:rsidR="003E7B3E" w:rsidRPr="009D6AC2" w:rsidTr="00744760">
        <w:trPr>
          <w:trHeight w:val="283"/>
          <w:jc w:val="center"/>
        </w:trPr>
        <w:tc>
          <w:tcPr>
            <w:tcW w:w="3470" w:type="dxa"/>
            <w:shd w:val="clear" w:color="auto" w:fill="auto"/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 xml:space="preserve">ALT, &gt;75 vs. </w:t>
            </w:r>
            <w:r w:rsidRPr="009D6AC2">
              <w:rPr>
                <w:rFonts w:hint="eastAsia"/>
                <w:kern w:val="0"/>
                <w:sz w:val="22"/>
              </w:rPr>
              <w:t>≤</w:t>
            </w:r>
            <w:r w:rsidRPr="009D6AC2">
              <w:rPr>
                <w:rFonts w:hint="eastAsia"/>
                <w:kern w:val="0"/>
                <w:sz w:val="22"/>
              </w:rPr>
              <w:t>75</w:t>
            </w:r>
            <w:r w:rsidRPr="009D6AC2">
              <w:rPr>
                <w:kern w:val="0"/>
                <w:sz w:val="22"/>
              </w:rPr>
              <w:t xml:space="preserve"> U/L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0.510</w:t>
            </w:r>
          </w:p>
        </w:tc>
        <w:tc>
          <w:tcPr>
            <w:tcW w:w="931" w:type="dxa"/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</w:p>
        </w:tc>
        <w:tc>
          <w:tcPr>
            <w:tcW w:w="1424" w:type="dxa"/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</w:p>
        </w:tc>
        <w:tc>
          <w:tcPr>
            <w:tcW w:w="959" w:type="dxa"/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NS</w:t>
            </w:r>
          </w:p>
        </w:tc>
      </w:tr>
      <w:tr w:rsidR="003E7B3E" w:rsidRPr="009D6AC2" w:rsidTr="00744760">
        <w:trPr>
          <w:trHeight w:val="283"/>
          <w:jc w:val="center"/>
        </w:trPr>
        <w:tc>
          <w:tcPr>
            <w:tcW w:w="3470" w:type="dxa"/>
            <w:shd w:val="clear" w:color="auto" w:fill="auto"/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 xml:space="preserve">γ-GT, &gt;50 vs. </w:t>
            </w:r>
            <w:r w:rsidRPr="009D6AC2">
              <w:rPr>
                <w:rFonts w:hint="eastAsia"/>
                <w:kern w:val="0"/>
                <w:sz w:val="22"/>
              </w:rPr>
              <w:t>≤</w:t>
            </w:r>
            <w:r w:rsidRPr="009D6AC2">
              <w:rPr>
                <w:rFonts w:hint="eastAsia"/>
                <w:kern w:val="0"/>
                <w:sz w:val="22"/>
              </w:rPr>
              <w:t>50</w:t>
            </w:r>
            <w:r w:rsidRPr="009D6AC2">
              <w:rPr>
                <w:kern w:val="0"/>
                <w:sz w:val="22"/>
              </w:rPr>
              <w:t xml:space="preserve"> U/L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0.053</w:t>
            </w:r>
          </w:p>
        </w:tc>
        <w:tc>
          <w:tcPr>
            <w:tcW w:w="931" w:type="dxa"/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</w:p>
        </w:tc>
        <w:tc>
          <w:tcPr>
            <w:tcW w:w="1424" w:type="dxa"/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</w:p>
        </w:tc>
        <w:tc>
          <w:tcPr>
            <w:tcW w:w="959" w:type="dxa"/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NA</w:t>
            </w:r>
          </w:p>
        </w:tc>
      </w:tr>
      <w:tr w:rsidR="003E7B3E" w:rsidRPr="009D6AC2" w:rsidTr="00744760">
        <w:trPr>
          <w:trHeight w:val="283"/>
          <w:jc w:val="center"/>
        </w:trPr>
        <w:tc>
          <w:tcPr>
            <w:tcW w:w="3470" w:type="dxa"/>
            <w:shd w:val="clear" w:color="auto" w:fill="auto"/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 xml:space="preserve">Albumin, &gt;35 vs. </w:t>
            </w:r>
            <w:r w:rsidRPr="009D6AC2">
              <w:rPr>
                <w:rFonts w:hint="eastAsia"/>
                <w:kern w:val="0"/>
                <w:sz w:val="22"/>
              </w:rPr>
              <w:t>≤</w:t>
            </w:r>
            <w:r w:rsidRPr="009D6AC2">
              <w:rPr>
                <w:rFonts w:hint="eastAsia"/>
                <w:kern w:val="0"/>
                <w:sz w:val="22"/>
              </w:rPr>
              <w:t>35</w:t>
            </w:r>
            <w:r w:rsidRPr="009D6AC2">
              <w:rPr>
                <w:kern w:val="0"/>
                <w:sz w:val="22"/>
              </w:rPr>
              <w:t xml:space="preserve"> g/L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0.001</w:t>
            </w:r>
          </w:p>
        </w:tc>
        <w:tc>
          <w:tcPr>
            <w:tcW w:w="931" w:type="dxa"/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0.331</w:t>
            </w:r>
          </w:p>
        </w:tc>
        <w:tc>
          <w:tcPr>
            <w:tcW w:w="1424" w:type="dxa"/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0.149-0.736</w:t>
            </w:r>
          </w:p>
        </w:tc>
        <w:tc>
          <w:tcPr>
            <w:tcW w:w="959" w:type="dxa"/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0.007</w:t>
            </w:r>
          </w:p>
        </w:tc>
      </w:tr>
      <w:tr w:rsidR="003E7B3E" w:rsidRPr="009D6AC2" w:rsidTr="00744760">
        <w:trPr>
          <w:trHeight w:val="283"/>
          <w:jc w:val="center"/>
        </w:trPr>
        <w:tc>
          <w:tcPr>
            <w:tcW w:w="3470" w:type="dxa"/>
            <w:shd w:val="clear" w:color="auto" w:fill="auto"/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Tumor differentiation, III–IV vs. I–II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0.549</w:t>
            </w:r>
          </w:p>
        </w:tc>
        <w:tc>
          <w:tcPr>
            <w:tcW w:w="931" w:type="dxa"/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</w:p>
        </w:tc>
        <w:tc>
          <w:tcPr>
            <w:tcW w:w="1424" w:type="dxa"/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</w:p>
        </w:tc>
        <w:tc>
          <w:tcPr>
            <w:tcW w:w="959" w:type="dxa"/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NA</w:t>
            </w:r>
          </w:p>
        </w:tc>
      </w:tr>
      <w:tr w:rsidR="003E7B3E" w:rsidRPr="009D6AC2" w:rsidTr="00744760">
        <w:trPr>
          <w:trHeight w:val="283"/>
          <w:jc w:val="center"/>
        </w:trPr>
        <w:tc>
          <w:tcPr>
            <w:tcW w:w="3470" w:type="dxa"/>
            <w:shd w:val="clear" w:color="auto" w:fill="auto"/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Tumor encapsulation, complete vs. none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0.128</w:t>
            </w:r>
          </w:p>
        </w:tc>
        <w:tc>
          <w:tcPr>
            <w:tcW w:w="931" w:type="dxa"/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</w:p>
        </w:tc>
        <w:tc>
          <w:tcPr>
            <w:tcW w:w="1424" w:type="dxa"/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</w:p>
        </w:tc>
        <w:tc>
          <w:tcPr>
            <w:tcW w:w="959" w:type="dxa"/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NA</w:t>
            </w:r>
          </w:p>
        </w:tc>
      </w:tr>
      <w:tr w:rsidR="003E7B3E" w:rsidRPr="009D6AC2" w:rsidTr="00744760">
        <w:trPr>
          <w:trHeight w:val="283"/>
          <w:jc w:val="center"/>
        </w:trPr>
        <w:tc>
          <w:tcPr>
            <w:tcW w:w="3470" w:type="dxa"/>
            <w:shd w:val="clear" w:color="auto" w:fill="auto"/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Microvascular invasion, yes vs. no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0.028</w:t>
            </w:r>
          </w:p>
        </w:tc>
        <w:tc>
          <w:tcPr>
            <w:tcW w:w="931" w:type="dxa"/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</w:p>
        </w:tc>
        <w:tc>
          <w:tcPr>
            <w:tcW w:w="1424" w:type="dxa"/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</w:p>
        </w:tc>
        <w:tc>
          <w:tcPr>
            <w:tcW w:w="959" w:type="dxa"/>
            <w:vAlign w:val="center"/>
          </w:tcPr>
          <w:p w:rsidR="003E7B3E" w:rsidRPr="009D6AC2" w:rsidRDefault="003E7B3E" w:rsidP="00744760">
            <w:pPr>
              <w:spacing w:line="360" w:lineRule="auto"/>
              <w:jc w:val="left"/>
              <w:rPr>
                <w:kern w:val="0"/>
                <w:sz w:val="22"/>
              </w:rPr>
            </w:pPr>
            <w:r w:rsidRPr="009D6AC2">
              <w:rPr>
                <w:kern w:val="0"/>
                <w:sz w:val="22"/>
              </w:rPr>
              <w:t>NS</w:t>
            </w:r>
          </w:p>
        </w:tc>
      </w:tr>
    </w:tbl>
    <w:p w:rsidR="003E7B3E" w:rsidRPr="009D6AC2" w:rsidRDefault="003E7B3E" w:rsidP="003E7B3E">
      <w:pPr>
        <w:spacing w:line="360" w:lineRule="auto"/>
        <w:jc w:val="left"/>
        <w:rPr>
          <w:sz w:val="22"/>
        </w:rPr>
      </w:pPr>
    </w:p>
    <w:p w:rsidR="000B6F72" w:rsidRDefault="003E7B3E">
      <w:bookmarkStart w:id="1" w:name="_GoBack"/>
      <w:bookmarkEnd w:id="1"/>
    </w:p>
    <w:sectPr w:rsidR="000B6F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B3E"/>
    <w:rsid w:val="000D2B98"/>
    <w:rsid w:val="001013EE"/>
    <w:rsid w:val="002E26BD"/>
    <w:rsid w:val="003E7B3E"/>
    <w:rsid w:val="005739C7"/>
    <w:rsid w:val="00BD53D1"/>
    <w:rsid w:val="00DA2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407549-0DEC-43B6-B977-ABE3B04FC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7B3E"/>
    <w:pPr>
      <w:widowControl w:val="0"/>
      <w:spacing w:line="480" w:lineRule="auto"/>
      <w:jc w:val="both"/>
    </w:pPr>
    <w:rPr>
      <w:rFonts w:ascii="Times New Roman" w:eastAsia="宋体" w:hAnsi="Times New Roman" w:cs="Times New Roman"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DA2B69"/>
    <w:pPr>
      <w:keepNext/>
      <w:keepLines/>
      <w:spacing w:beforeLines="50" w:before="50" w:afterLines="50" w:after="50" w:line="240" w:lineRule="auto"/>
      <w:outlineLvl w:val="1"/>
    </w:pPr>
    <w:rPr>
      <w:rFonts w:cstheme="majorBidi"/>
      <w:b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DA2B69"/>
    <w:rPr>
      <w:rFonts w:ascii="Times New Roman" w:eastAsia="宋体" w:hAnsi="Times New Roman" w:cstheme="majorBidi"/>
      <w:b/>
      <w:bCs/>
      <w:sz w:val="28"/>
      <w:szCs w:val="32"/>
    </w:rPr>
  </w:style>
  <w:style w:type="paragraph" w:styleId="a3">
    <w:name w:val="caption"/>
    <w:basedOn w:val="a"/>
    <w:next w:val="a"/>
    <w:uiPriority w:val="35"/>
    <w:qFormat/>
    <w:rsid w:val="003E7B3E"/>
    <w:rPr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Xiao-Dong Zhu</dc:creator>
  <cp:keywords/>
  <dc:description/>
  <cp:lastModifiedBy>Xiao-Dong Zhu</cp:lastModifiedBy>
  <cp:revision>1</cp:revision>
  <dcterms:created xsi:type="dcterms:W3CDTF">2017-01-05T08:18:00Z</dcterms:created>
  <dcterms:modified xsi:type="dcterms:W3CDTF">2017-01-05T08:18:00Z</dcterms:modified>
</cp:coreProperties>
</file>