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BE6" w:rsidRPr="009D6AC2" w:rsidRDefault="006D5BE6" w:rsidP="006D5BE6">
      <w:pPr>
        <w:spacing w:line="240" w:lineRule="auto"/>
        <w:rPr>
          <w:b/>
        </w:rPr>
      </w:pPr>
      <w:r w:rsidRPr="009D6AC2">
        <w:rPr>
          <w:b/>
        </w:rPr>
        <w:t>Table S4. Univariate analyses of factors associated with recurrence-free survival in the patients from the validation cohort or stratified by BCLC stage</w:t>
      </w:r>
      <w:r w:rsidRPr="009D6AC2">
        <w:rPr>
          <w:b/>
          <w:vertAlign w:val="superscript"/>
        </w:rPr>
        <w:t>*</w:t>
      </w:r>
    </w:p>
    <w:tbl>
      <w:tblPr>
        <w:tblW w:w="814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028"/>
        <w:gridCol w:w="1312"/>
        <w:gridCol w:w="1244"/>
        <w:gridCol w:w="1312"/>
        <w:gridCol w:w="1245"/>
      </w:tblGrid>
      <w:tr w:rsidR="006D5BE6" w:rsidRPr="009D6AC2" w:rsidTr="00744760">
        <w:trPr>
          <w:trHeight w:val="309"/>
        </w:trPr>
        <w:tc>
          <w:tcPr>
            <w:tcW w:w="30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Features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All patients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 xml:space="preserve">BCLC 0 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BCLC A</w:t>
            </w:r>
          </w:p>
        </w:tc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b/>
                <w:kern w:val="0"/>
                <w:szCs w:val="24"/>
              </w:rPr>
            </w:pPr>
            <w:r w:rsidRPr="009D6AC2">
              <w:rPr>
                <w:rFonts w:eastAsia="等线"/>
                <w:b/>
                <w:kern w:val="0"/>
                <w:szCs w:val="24"/>
              </w:rPr>
              <w:t>BCLC B</w:t>
            </w:r>
          </w:p>
        </w:tc>
      </w:tr>
      <w:tr w:rsidR="006D5BE6" w:rsidRPr="009D6AC2" w:rsidTr="00744760">
        <w:trPr>
          <w:trHeight w:val="323"/>
        </w:trPr>
        <w:tc>
          <w:tcPr>
            <w:tcW w:w="3028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Age,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52 vs. &gt;52 y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0.159</w:t>
            </w:r>
          </w:p>
        </w:tc>
        <w:tc>
          <w:tcPr>
            <w:tcW w:w="124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0.040 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0.362 </w:t>
            </w:r>
          </w:p>
        </w:tc>
        <w:tc>
          <w:tcPr>
            <w:tcW w:w="1245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0.214 </w:t>
            </w:r>
          </w:p>
        </w:tc>
      </w:tr>
      <w:tr w:rsidR="006D5BE6" w:rsidRPr="009D6AC2" w:rsidTr="00744760">
        <w:trPr>
          <w:trHeight w:val="323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Gender, female vs. male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0.149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0.880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0.097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0.129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Hepatitis B history, yes vs. no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0.370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0.117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0.920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0.208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Liver cirrhosis, yes vs. no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0.249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0.600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0.191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0.002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α-Fetoprotein, &gt;200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200 ng/</w:t>
            </w:r>
            <w:proofErr w:type="spellStart"/>
            <w:r w:rsidRPr="009D6AC2">
              <w:rPr>
                <w:rFonts w:eastAsia="等线"/>
                <w:kern w:val="0"/>
                <w:szCs w:val="24"/>
              </w:rPr>
              <w:t>dL</w:t>
            </w:r>
            <w:proofErr w:type="spellEnd"/>
            <w:r w:rsidRPr="009D6AC2">
              <w:rPr>
                <w:rFonts w:eastAsia="等线"/>
                <w:kern w:val="0"/>
                <w:szCs w:val="24"/>
              </w:rPr>
              <w:t xml:space="preserve">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0.009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0.366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0.019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0.018 </w:t>
            </w:r>
          </w:p>
        </w:tc>
      </w:tr>
      <w:tr w:rsidR="006D5BE6" w:rsidRPr="009D6AC2" w:rsidTr="00744760">
        <w:trPr>
          <w:trHeight w:val="323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ALT, &gt;75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75 U/L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0.284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0.493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0.443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0.153 </w:t>
            </w:r>
          </w:p>
        </w:tc>
      </w:tr>
      <w:tr w:rsidR="006D5BE6" w:rsidRPr="009D6AC2" w:rsidTr="00744760">
        <w:trPr>
          <w:trHeight w:val="323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γ-GT, &gt;50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50 U/L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0.029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0.031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Albumin, &gt;35 vs.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35 g/L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0.025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0.288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0.044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0.873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size, &gt;5 vs.</w:t>
            </w:r>
            <w:r w:rsidRPr="009D6AC2">
              <w:rPr>
                <w:rFonts w:eastAsia="等线"/>
                <w:i/>
                <w:iCs/>
                <w:kern w:val="0"/>
                <w:szCs w:val="24"/>
              </w:rPr>
              <w:t xml:space="preserve"> </w:t>
            </w:r>
            <w:r w:rsidRPr="009D6AC2">
              <w:rPr>
                <w:rFonts w:eastAsia="等线" w:hint="eastAsia"/>
                <w:kern w:val="0"/>
                <w:szCs w:val="24"/>
              </w:rPr>
              <w:t>≤</w:t>
            </w:r>
            <w:r w:rsidRPr="009D6AC2">
              <w:rPr>
                <w:rFonts w:eastAsia="等线"/>
                <w:kern w:val="0"/>
                <w:szCs w:val="24"/>
              </w:rPr>
              <w:t>5 cm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&lt;0.001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0.001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0.187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number, solitary vs. multiple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0.001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0.599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-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differentiation, III–IV vs. I–II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0.010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0.649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0.009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0.483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Tumor encapsulation, complete vs. none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0.071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0.841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0.071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0.787 </w:t>
            </w:r>
          </w:p>
        </w:tc>
      </w:tr>
      <w:tr w:rsidR="006D5BE6" w:rsidRPr="009D6AC2" w:rsidTr="00744760">
        <w:trPr>
          <w:trHeight w:val="648"/>
        </w:trPr>
        <w:tc>
          <w:tcPr>
            <w:tcW w:w="3028" w:type="dxa"/>
            <w:shd w:val="clear" w:color="auto" w:fill="auto"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left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>Microvascular invasion, yes vs. no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244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0.041 </w:t>
            </w:r>
          </w:p>
        </w:tc>
        <w:tc>
          <w:tcPr>
            <w:tcW w:w="1312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&lt;0.001 </w:t>
            </w:r>
          </w:p>
        </w:tc>
        <w:tc>
          <w:tcPr>
            <w:tcW w:w="1245" w:type="dxa"/>
            <w:shd w:val="clear" w:color="auto" w:fill="auto"/>
            <w:noWrap/>
            <w:vAlign w:val="center"/>
            <w:hideMark/>
          </w:tcPr>
          <w:p w:rsidR="006D5BE6" w:rsidRPr="009D6AC2" w:rsidRDefault="006D5BE6" w:rsidP="00744760">
            <w:pPr>
              <w:widowControl/>
              <w:spacing w:line="240" w:lineRule="auto"/>
              <w:jc w:val="center"/>
              <w:rPr>
                <w:rFonts w:eastAsia="等线"/>
                <w:kern w:val="0"/>
                <w:szCs w:val="24"/>
              </w:rPr>
            </w:pPr>
            <w:r w:rsidRPr="009D6AC2">
              <w:rPr>
                <w:rFonts w:eastAsia="等线"/>
                <w:kern w:val="0"/>
                <w:szCs w:val="24"/>
              </w:rPr>
              <w:t xml:space="preserve">0.004 </w:t>
            </w:r>
          </w:p>
        </w:tc>
      </w:tr>
    </w:tbl>
    <w:p w:rsidR="006D5BE6" w:rsidRPr="009D6AC2" w:rsidRDefault="006D5BE6" w:rsidP="006D5BE6">
      <w:r w:rsidRPr="009D6AC2">
        <w:t xml:space="preserve">*, </w:t>
      </w:r>
      <w:r w:rsidRPr="009D6AC2">
        <w:rPr>
          <w:i/>
        </w:rPr>
        <w:t>P</w:t>
      </w:r>
      <w:r w:rsidRPr="009D6AC2">
        <w:t xml:space="preserve"> values were shown in this table. </w:t>
      </w:r>
    </w:p>
    <w:p w:rsidR="000B6F72" w:rsidRPr="006D5BE6" w:rsidRDefault="006D5BE6">
      <w:bookmarkStart w:id="0" w:name="_GoBack"/>
      <w:bookmarkEnd w:id="0"/>
    </w:p>
    <w:sectPr w:rsidR="000B6F72" w:rsidRPr="006D5B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BE6"/>
    <w:rsid w:val="000D2B98"/>
    <w:rsid w:val="001013EE"/>
    <w:rsid w:val="002E26BD"/>
    <w:rsid w:val="005739C7"/>
    <w:rsid w:val="006D5BE6"/>
    <w:rsid w:val="00BD53D1"/>
    <w:rsid w:val="00DA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57098B-FC74-43C5-B4D6-7FCE7345A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BE6"/>
    <w:pPr>
      <w:widowControl w:val="0"/>
      <w:spacing w:line="480" w:lineRule="auto"/>
      <w:jc w:val="both"/>
    </w:pPr>
    <w:rPr>
      <w:rFonts w:ascii="Times New Roman" w:eastAsia="宋体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A2B69"/>
    <w:pPr>
      <w:keepNext/>
      <w:keepLines/>
      <w:spacing w:beforeLines="50" w:before="50" w:afterLines="50" w:after="50" w:line="240" w:lineRule="auto"/>
      <w:outlineLvl w:val="1"/>
    </w:pPr>
    <w:rPr>
      <w:rFonts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DA2B69"/>
    <w:rPr>
      <w:rFonts w:ascii="Times New Roman" w:eastAsia="宋体" w:hAnsi="Times New Roman" w:cstheme="majorBidi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Xiao-Dong Zhu</dc:creator>
  <cp:keywords/>
  <dc:description/>
  <cp:lastModifiedBy>Xiao-Dong Zhu</cp:lastModifiedBy>
  <cp:revision>1</cp:revision>
  <dcterms:created xsi:type="dcterms:W3CDTF">2017-01-05T08:19:00Z</dcterms:created>
  <dcterms:modified xsi:type="dcterms:W3CDTF">2017-01-05T08:19:00Z</dcterms:modified>
</cp:coreProperties>
</file>