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1CA" w:rsidRPr="004C718C" w:rsidRDefault="004251CA" w:rsidP="004251CA">
      <w:pPr>
        <w:rPr>
          <w:rFonts w:ascii="Arial" w:hAnsi="Arial" w:cs="Arial"/>
        </w:rPr>
      </w:pPr>
      <w:r w:rsidRPr="004A39F7">
        <w:rPr>
          <w:rFonts w:ascii="Arial" w:hAnsi="Arial" w:cs="Arial"/>
          <w:b/>
        </w:rPr>
        <w:t xml:space="preserve">Table </w:t>
      </w:r>
      <w:r w:rsidR="003A4423" w:rsidRPr="004A39F7">
        <w:rPr>
          <w:rFonts w:ascii="Arial" w:hAnsi="Arial" w:cs="Arial"/>
          <w:b/>
        </w:rPr>
        <w:t>S</w:t>
      </w:r>
      <w:r w:rsidR="002927F4">
        <w:rPr>
          <w:rFonts w:ascii="Arial" w:hAnsi="Arial" w:cs="Arial"/>
          <w:b/>
        </w:rPr>
        <w:t>3</w:t>
      </w:r>
      <w:r w:rsidRPr="004A39F7">
        <w:rPr>
          <w:rFonts w:ascii="Arial" w:hAnsi="Arial" w:cs="Arial"/>
          <w:b/>
        </w:rPr>
        <w:t xml:space="preserve"> </w:t>
      </w:r>
      <w:r w:rsidRPr="004C718C">
        <w:rPr>
          <w:rFonts w:ascii="Arial" w:hAnsi="Arial" w:cs="Arial"/>
        </w:rPr>
        <w:t xml:space="preserve">Incidence of </w:t>
      </w:r>
      <w:r w:rsidR="00D45940" w:rsidRPr="004C718C">
        <w:rPr>
          <w:rFonts w:ascii="Arial" w:hAnsi="Arial" w:cs="Arial"/>
        </w:rPr>
        <w:t>s</w:t>
      </w:r>
      <w:r w:rsidRPr="004C718C">
        <w:rPr>
          <w:rFonts w:ascii="Arial" w:hAnsi="Arial" w:cs="Arial"/>
        </w:rPr>
        <w:t xml:space="preserve">erious </w:t>
      </w:r>
      <w:r w:rsidR="00D45940" w:rsidRPr="004C718C">
        <w:rPr>
          <w:rFonts w:ascii="Arial" w:hAnsi="Arial" w:cs="Arial"/>
        </w:rPr>
        <w:t>a</w:t>
      </w:r>
      <w:r w:rsidRPr="004C718C">
        <w:rPr>
          <w:rFonts w:ascii="Arial" w:hAnsi="Arial" w:cs="Arial"/>
        </w:rPr>
        <w:t xml:space="preserve">dverse </w:t>
      </w:r>
      <w:r w:rsidR="00D45940" w:rsidRPr="004C718C">
        <w:rPr>
          <w:rFonts w:ascii="Arial" w:hAnsi="Arial" w:cs="Arial"/>
        </w:rPr>
        <w:t>e</w:t>
      </w:r>
      <w:r w:rsidRPr="004C718C">
        <w:rPr>
          <w:rFonts w:ascii="Arial" w:hAnsi="Arial" w:cs="Arial"/>
        </w:rPr>
        <w:t xml:space="preserve">vents of </w:t>
      </w:r>
      <w:r w:rsidR="00D45940" w:rsidRPr="004C718C">
        <w:rPr>
          <w:rFonts w:ascii="Arial" w:hAnsi="Arial" w:cs="Arial"/>
        </w:rPr>
        <w:t>a</w:t>
      </w:r>
      <w:r w:rsidRPr="004C718C">
        <w:rPr>
          <w:rFonts w:ascii="Arial" w:hAnsi="Arial" w:cs="Arial"/>
        </w:rPr>
        <w:t xml:space="preserve">ny </w:t>
      </w:r>
      <w:r w:rsidR="00D45940" w:rsidRPr="004C718C">
        <w:rPr>
          <w:rFonts w:ascii="Arial" w:hAnsi="Arial" w:cs="Arial"/>
        </w:rPr>
        <w:t>g</w:t>
      </w:r>
      <w:r w:rsidRPr="004C718C">
        <w:rPr>
          <w:rFonts w:ascii="Arial" w:hAnsi="Arial" w:cs="Arial"/>
        </w:rPr>
        <w:t xml:space="preserve">rade in </w:t>
      </w:r>
      <w:r w:rsidR="00D45940" w:rsidRPr="004C718C">
        <w:rPr>
          <w:rFonts w:ascii="Arial" w:hAnsi="Arial" w:cs="Arial"/>
        </w:rPr>
        <w:t>e</w:t>
      </w:r>
      <w:r w:rsidRPr="004C718C">
        <w:rPr>
          <w:rFonts w:ascii="Arial" w:hAnsi="Arial" w:cs="Arial"/>
        </w:rPr>
        <w:t xml:space="preserve">nrolled </w:t>
      </w:r>
      <w:r w:rsidR="00D45940" w:rsidRPr="004C718C">
        <w:rPr>
          <w:rFonts w:ascii="Arial" w:hAnsi="Arial" w:cs="Arial"/>
        </w:rPr>
        <w:t>p</w:t>
      </w:r>
      <w:r w:rsidRPr="004C718C">
        <w:rPr>
          <w:rFonts w:ascii="Arial" w:hAnsi="Arial" w:cs="Arial"/>
        </w:rPr>
        <w:t xml:space="preserve">atients by </w:t>
      </w:r>
      <w:r w:rsidR="00D45940" w:rsidRPr="004C718C">
        <w:rPr>
          <w:rFonts w:ascii="Arial" w:hAnsi="Arial" w:cs="Arial"/>
        </w:rPr>
        <w:t>t</w:t>
      </w:r>
      <w:r w:rsidRPr="004C718C">
        <w:rPr>
          <w:rFonts w:ascii="Arial" w:hAnsi="Arial" w:cs="Arial"/>
        </w:rPr>
        <w:t xml:space="preserve">herapy and </w:t>
      </w:r>
      <w:r w:rsidR="00D45940" w:rsidRPr="004C718C">
        <w:rPr>
          <w:rFonts w:ascii="Arial" w:hAnsi="Arial" w:cs="Arial"/>
        </w:rPr>
        <w:t>a</w:t>
      </w:r>
      <w:r w:rsidRPr="004C718C">
        <w:rPr>
          <w:rFonts w:ascii="Arial" w:hAnsi="Arial" w:cs="Arial"/>
        </w:rPr>
        <w:t xml:space="preserve">ge </w:t>
      </w:r>
      <w:r w:rsidR="00D45940" w:rsidRPr="004C718C">
        <w:rPr>
          <w:rFonts w:ascii="Arial" w:hAnsi="Arial" w:cs="Arial"/>
        </w:rPr>
        <w:t>g</w:t>
      </w:r>
      <w:r w:rsidRPr="004C718C">
        <w:rPr>
          <w:rFonts w:ascii="Arial" w:hAnsi="Arial" w:cs="Arial"/>
        </w:rPr>
        <w:t>roup</w:t>
      </w:r>
    </w:p>
    <w:p w:rsidR="004251CA" w:rsidRPr="004A39F7" w:rsidRDefault="004251CA" w:rsidP="004251CA">
      <w:pPr>
        <w:rPr>
          <w:rFonts w:ascii="Arial" w:hAnsi="Arial" w:cs="Arial"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tbl>
      <w:tblPr>
        <w:tblStyle w:val="TableGrid1"/>
        <w:tblW w:w="48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5"/>
        <w:gridCol w:w="1869"/>
        <w:gridCol w:w="1871"/>
        <w:gridCol w:w="1869"/>
        <w:gridCol w:w="1871"/>
      </w:tblGrid>
      <w:tr w:rsidR="004251CA" w:rsidRPr="004A39F7" w:rsidTr="00E7039F">
        <w:trPr>
          <w:trHeight w:val="300"/>
          <w:tblHeader/>
        </w:trPr>
        <w:tc>
          <w:tcPr>
            <w:tcW w:w="2102" w:type="pct"/>
            <w:tcBorders>
              <w:top w:val="single" w:sz="4" w:space="0" w:color="auto"/>
            </w:tcBorders>
            <w:noWrap/>
          </w:tcPr>
          <w:p w:rsidR="004251CA" w:rsidRPr="004A39F7" w:rsidRDefault="004251CA" w:rsidP="00DB2B95">
            <w:pPr>
              <w:spacing w:after="120"/>
              <w:jc w:val="both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4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LOT1</w:t>
            </w:r>
          </w:p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(N = 889)</w:t>
            </w:r>
          </w:p>
        </w:tc>
        <w:tc>
          <w:tcPr>
            <w:tcW w:w="14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LOT≥2</w:t>
            </w:r>
          </w:p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(N = 605)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tcBorders>
              <w:bottom w:val="single" w:sz="4" w:space="0" w:color="auto"/>
            </w:tcBorders>
            <w:noWrap/>
            <w:hideMark/>
          </w:tcPr>
          <w:p w:rsidR="004251CA" w:rsidRPr="004C718C" w:rsidRDefault="004251CA" w:rsidP="00DB2B95">
            <w:pPr>
              <w:spacing w:after="120"/>
              <w:jc w:val="both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 xml:space="preserve">Adverse event, n (%) 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&lt;</w:t>
            </w:r>
            <w:r w:rsidR="00416E13">
              <w:rPr>
                <w:rFonts w:ascii="Arial" w:hAnsi="Arial" w:cs="Arial"/>
              </w:rPr>
              <w:t xml:space="preserve"> </w:t>
            </w:r>
            <w:r w:rsidRPr="004C718C">
              <w:rPr>
                <w:rFonts w:ascii="Arial" w:hAnsi="Arial" w:cs="Arial"/>
              </w:rPr>
              <w:t xml:space="preserve">75 </w:t>
            </w:r>
            <w:r w:rsidRPr="004C718C">
              <w:rPr>
                <w:rFonts w:ascii="Arial" w:hAnsi="Arial" w:cs="Arial"/>
              </w:rPr>
              <w:br/>
              <w:t>years</w:t>
            </w:r>
          </w:p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b/>
                <w:lang w:val="en-US"/>
              </w:rPr>
            </w:pPr>
            <w:r w:rsidRPr="004C718C">
              <w:rPr>
                <w:rFonts w:ascii="Arial" w:hAnsi="Arial" w:cs="Arial"/>
              </w:rPr>
              <w:t>(n = 630)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≥</w:t>
            </w:r>
            <w:r w:rsidR="00416E13">
              <w:rPr>
                <w:rFonts w:ascii="Arial" w:hAnsi="Arial" w:cs="Arial"/>
              </w:rPr>
              <w:t xml:space="preserve"> </w:t>
            </w:r>
            <w:r w:rsidRPr="004C718C">
              <w:rPr>
                <w:rFonts w:ascii="Arial" w:hAnsi="Arial" w:cs="Arial"/>
              </w:rPr>
              <w:t xml:space="preserve">75 </w:t>
            </w:r>
            <w:r w:rsidRPr="004C718C">
              <w:rPr>
                <w:rFonts w:ascii="Arial" w:hAnsi="Arial" w:cs="Arial"/>
              </w:rPr>
              <w:br/>
              <w:t>years</w:t>
            </w:r>
          </w:p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(n = 259)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&lt;</w:t>
            </w:r>
            <w:r w:rsidR="00416E13">
              <w:rPr>
                <w:rFonts w:ascii="Arial" w:hAnsi="Arial" w:cs="Arial"/>
              </w:rPr>
              <w:t xml:space="preserve"> </w:t>
            </w:r>
            <w:r w:rsidRPr="004C718C">
              <w:rPr>
                <w:rFonts w:ascii="Arial" w:hAnsi="Arial" w:cs="Arial"/>
              </w:rPr>
              <w:t xml:space="preserve">75 </w:t>
            </w:r>
            <w:r w:rsidRPr="004C718C">
              <w:rPr>
                <w:rFonts w:ascii="Arial" w:hAnsi="Arial" w:cs="Arial"/>
              </w:rPr>
              <w:br/>
              <w:t>years</w:t>
            </w:r>
          </w:p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(n = 409)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≥</w:t>
            </w:r>
            <w:r w:rsidR="00416E13">
              <w:rPr>
                <w:rFonts w:ascii="Arial" w:hAnsi="Arial" w:cs="Arial"/>
              </w:rPr>
              <w:t xml:space="preserve"> </w:t>
            </w:r>
            <w:r w:rsidRPr="004C718C">
              <w:rPr>
                <w:rFonts w:ascii="Arial" w:hAnsi="Arial" w:cs="Arial"/>
              </w:rPr>
              <w:t>75</w:t>
            </w:r>
            <w:r w:rsidRPr="004C718C">
              <w:rPr>
                <w:rFonts w:ascii="Arial" w:hAnsi="Arial" w:cs="Arial"/>
              </w:rPr>
              <w:br/>
              <w:t xml:space="preserve"> years</w:t>
            </w:r>
          </w:p>
          <w:p w:rsidR="004251CA" w:rsidRPr="004C718C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C718C">
              <w:rPr>
                <w:rFonts w:ascii="Arial" w:hAnsi="Arial" w:cs="Arial"/>
              </w:rPr>
              <w:t>(n = 196)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tcBorders>
              <w:top w:val="single" w:sz="4" w:space="0" w:color="auto"/>
            </w:tcBorders>
            <w:noWrap/>
          </w:tcPr>
          <w:p w:rsidR="004251CA" w:rsidRPr="004A39F7" w:rsidRDefault="004251CA" w:rsidP="00DB2B95">
            <w:pPr>
              <w:spacing w:after="120"/>
              <w:ind w:left="360" w:right="127" w:hanging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Patients with ≥</w:t>
            </w:r>
            <w:r w:rsidR="00416E13">
              <w:rPr>
                <w:rFonts w:ascii="Arial" w:hAnsi="Arial" w:cs="Arial"/>
                <w:lang w:val="en-US"/>
              </w:rPr>
              <w:t xml:space="preserve"> </w:t>
            </w:r>
            <w:r w:rsidRPr="004A39F7">
              <w:rPr>
                <w:rFonts w:ascii="Arial" w:hAnsi="Arial" w:cs="Arial"/>
                <w:lang w:val="en-US"/>
              </w:rPr>
              <w:t>1 serious adverse event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248 (39.4)</w:t>
            </w:r>
          </w:p>
        </w:tc>
        <w:tc>
          <w:tcPr>
            <w:tcW w:w="7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145 (56.0)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253 (61.9)</w:t>
            </w:r>
          </w:p>
        </w:tc>
        <w:tc>
          <w:tcPr>
            <w:tcW w:w="7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134 (68.4)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Infections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Pneumonia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29 (4.6)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29 (11.2)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59 (14.4)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28 (14.3)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Sepsis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12 (1.9)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7 (2.7)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13 (3.2)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10 (5.1)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Urinary tract infection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7 (1.1)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 (0.8)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6 (1.5)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5 (2.6)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Secondary neoplasms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Squamous cell carcinoma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24 (3.8)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23 (8.9)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17 (4.2)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9 (4.6)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Basal cell carcinoma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13 (2.1)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8 (3.1)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11 (2.7)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6 (3.1)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Hematologic disorders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Febrile neutropenia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24 (3.8)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6 (2.3)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39 (9.5)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12 (6.1)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A39F7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Anemia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10 (1.6)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9 (3.5)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19 (4.6)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8 (4.1)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Pancytopenia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3 (0.5)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5 (1.9)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11 (2.7)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4 (2.0)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Thrombocytopenia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4 (0.6)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 (0.4)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10 (2.4)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 (1.0)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Respiratory disorders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Acute respiratory failure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 (0.3)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 (0.8)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10 (2.4)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3 (1.5)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Pleural effusion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4 (0.6)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 (0.8)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6 (1.5)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7 (3.6)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lastRenderedPageBreak/>
              <w:t>Dyspnea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7 (1.1)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4 (1.5)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9 (2.2)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3 (1.5)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Injection site reactions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Pyrexia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23 (3.7)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8 (3.1)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17 (4.2)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6 (3.1)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Cardiac disorders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Congestive cardiac failure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3 (0.5)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7 (2.7)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6 (1.5)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9 (4.6)</w:t>
            </w:r>
          </w:p>
        </w:tc>
      </w:tr>
      <w:tr w:rsidR="004251CA" w:rsidRPr="004A39F7" w:rsidTr="00E7039F">
        <w:trPr>
          <w:trHeight w:val="300"/>
          <w:tblHeader/>
        </w:trPr>
        <w:tc>
          <w:tcPr>
            <w:tcW w:w="2102" w:type="pct"/>
            <w:tcBorders>
              <w:bottom w:val="single" w:sz="4" w:space="0" w:color="auto"/>
            </w:tcBorders>
            <w:noWrap/>
          </w:tcPr>
          <w:p w:rsidR="004251CA" w:rsidRPr="004A39F7" w:rsidRDefault="004251CA" w:rsidP="00DB2B95">
            <w:pPr>
              <w:spacing w:after="120"/>
              <w:ind w:firstLine="360"/>
              <w:jc w:val="both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Atrial fibrillation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6 (1.0)</w:t>
            </w:r>
          </w:p>
        </w:tc>
        <w:tc>
          <w:tcPr>
            <w:tcW w:w="7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9 (3.5)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9 (2.2)</w:t>
            </w:r>
          </w:p>
        </w:tc>
        <w:tc>
          <w:tcPr>
            <w:tcW w:w="7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51CA" w:rsidRPr="004A39F7" w:rsidRDefault="004251CA" w:rsidP="00E7039F">
            <w:pPr>
              <w:spacing w:before="40" w:after="120"/>
              <w:jc w:val="center"/>
              <w:rPr>
                <w:rFonts w:ascii="Arial" w:hAnsi="Arial" w:cs="Arial"/>
                <w:lang w:val="en-US"/>
              </w:rPr>
            </w:pPr>
            <w:r w:rsidRPr="004A39F7">
              <w:rPr>
                <w:rFonts w:ascii="Arial" w:hAnsi="Arial" w:cs="Arial"/>
                <w:lang w:val="en-US"/>
              </w:rPr>
              <w:t>4 (2.0)</w:t>
            </w:r>
          </w:p>
        </w:tc>
      </w:tr>
    </w:tbl>
    <w:p w:rsidR="004251CA" w:rsidRPr="004A39F7" w:rsidRDefault="004251CA" w:rsidP="00E7039F">
      <w:pPr>
        <w:spacing w:line="276" w:lineRule="auto"/>
        <w:rPr>
          <w:rFonts w:ascii="Arial" w:hAnsi="Arial" w:cs="Arial"/>
          <w:sz w:val="20"/>
          <w:szCs w:val="20"/>
        </w:rPr>
      </w:pPr>
      <w:r w:rsidRPr="004A39F7">
        <w:rPr>
          <w:rFonts w:ascii="Arial" w:hAnsi="Arial" w:cs="Arial"/>
          <w:sz w:val="20"/>
          <w:szCs w:val="20"/>
        </w:rPr>
        <w:t>NOTE. Adverse events occurring in &gt;</w:t>
      </w:r>
      <w:r w:rsidR="00416E13">
        <w:rPr>
          <w:rFonts w:ascii="Arial" w:hAnsi="Arial" w:cs="Arial"/>
          <w:sz w:val="20"/>
          <w:szCs w:val="20"/>
        </w:rPr>
        <w:t xml:space="preserve"> </w:t>
      </w:r>
      <w:r w:rsidRPr="004A39F7">
        <w:rPr>
          <w:rFonts w:ascii="Arial" w:hAnsi="Arial" w:cs="Arial"/>
          <w:sz w:val="20"/>
          <w:szCs w:val="20"/>
        </w:rPr>
        <w:t>2% patients in at least one patient group are listed.</w:t>
      </w:r>
    </w:p>
    <w:p w:rsidR="004251CA" w:rsidRPr="004A39F7" w:rsidRDefault="004251CA" w:rsidP="00E7039F">
      <w:pPr>
        <w:spacing w:line="276" w:lineRule="auto"/>
        <w:rPr>
          <w:rFonts w:ascii="Arial" w:hAnsi="Arial" w:cs="Arial"/>
          <w:sz w:val="20"/>
          <w:szCs w:val="20"/>
        </w:rPr>
      </w:pPr>
      <w:r w:rsidRPr="004A39F7">
        <w:rPr>
          <w:rFonts w:ascii="Arial" w:hAnsi="Arial" w:cs="Arial"/>
          <w:sz w:val="20"/>
          <w:szCs w:val="20"/>
        </w:rPr>
        <w:t>LOT1 first line of therapy</w:t>
      </w:r>
      <w:r w:rsidR="00416E13">
        <w:rPr>
          <w:rFonts w:ascii="Arial" w:hAnsi="Arial" w:cs="Arial"/>
          <w:sz w:val="20"/>
          <w:szCs w:val="20"/>
        </w:rPr>
        <w:t>,</w:t>
      </w:r>
      <w:r w:rsidRPr="004A39F7">
        <w:rPr>
          <w:rFonts w:ascii="Arial" w:hAnsi="Arial" w:cs="Arial"/>
          <w:sz w:val="20"/>
          <w:szCs w:val="20"/>
        </w:rPr>
        <w:t xml:space="preserve"> LOT≥2 second line of therapy or greater</w:t>
      </w:r>
    </w:p>
    <w:p w:rsidR="004251CA" w:rsidRPr="004A39F7" w:rsidRDefault="004251CA" w:rsidP="00E7039F">
      <w:pPr>
        <w:spacing w:line="276" w:lineRule="auto"/>
        <w:rPr>
          <w:rFonts w:ascii="Arial" w:hAnsi="Arial" w:cs="Arial"/>
          <w:b/>
        </w:rPr>
      </w:pPr>
    </w:p>
    <w:p w:rsidR="004251CA" w:rsidRPr="004A39F7" w:rsidRDefault="004251CA" w:rsidP="00E7039F">
      <w:pPr>
        <w:spacing w:line="276" w:lineRule="auto"/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4251CA" w:rsidRPr="004A39F7" w:rsidRDefault="004251CA" w:rsidP="004251CA">
      <w:pPr>
        <w:rPr>
          <w:rFonts w:ascii="Arial" w:hAnsi="Arial" w:cs="Arial"/>
          <w:b/>
        </w:rPr>
      </w:pPr>
    </w:p>
    <w:p w:rsidR="003F33C5" w:rsidRPr="004A39F7" w:rsidRDefault="003F33C5" w:rsidP="004251CA">
      <w:pPr>
        <w:spacing w:line="480" w:lineRule="auto"/>
        <w:rPr>
          <w:rFonts w:ascii="Arial" w:hAnsi="Arial" w:cs="Arial"/>
          <w:b/>
        </w:rPr>
      </w:pPr>
    </w:p>
    <w:p w:rsidR="003F33C5" w:rsidRDefault="003F33C5" w:rsidP="004251CA">
      <w:pPr>
        <w:spacing w:line="480" w:lineRule="auto"/>
        <w:rPr>
          <w:rFonts w:ascii="Arial" w:hAnsi="Arial" w:cs="Arial"/>
          <w:b/>
        </w:rPr>
      </w:pPr>
    </w:p>
    <w:p w:rsidR="002927F4" w:rsidRPr="004A39F7" w:rsidRDefault="002927F4" w:rsidP="004251CA">
      <w:pPr>
        <w:spacing w:line="480" w:lineRule="auto"/>
        <w:rPr>
          <w:rFonts w:ascii="Arial" w:hAnsi="Arial" w:cs="Arial"/>
          <w:b/>
        </w:rPr>
      </w:pPr>
      <w:bookmarkStart w:id="0" w:name="_GoBack"/>
      <w:bookmarkEnd w:id="0"/>
    </w:p>
    <w:sectPr w:rsidR="002927F4" w:rsidRPr="004A39F7" w:rsidSect="00AA47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251CA"/>
    <w:rsid w:val="001306DF"/>
    <w:rsid w:val="00132F1B"/>
    <w:rsid w:val="00267D8B"/>
    <w:rsid w:val="002706BB"/>
    <w:rsid w:val="002927F4"/>
    <w:rsid w:val="002A16F9"/>
    <w:rsid w:val="002C5E37"/>
    <w:rsid w:val="003A4423"/>
    <w:rsid w:val="003B2FE6"/>
    <w:rsid w:val="003F33C5"/>
    <w:rsid w:val="00416E13"/>
    <w:rsid w:val="004251CA"/>
    <w:rsid w:val="004A39F7"/>
    <w:rsid w:val="004C718C"/>
    <w:rsid w:val="005633AF"/>
    <w:rsid w:val="005D32FF"/>
    <w:rsid w:val="00655D32"/>
    <w:rsid w:val="00734501"/>
    <w:rsid w:val="00755F86"/>
    <w:rsid w:val="009B25C4"/>
    <w:rsid w:val="00A37C54"/>
    <w:rsid w:val="00B05775"/>
    <w:rsid w:val="00B05A3B"/>
    <w:rsid w:val="00B7385B"/>
    <w:rsid w:val="00C32F2F"/>
    <w:rsid w:val="00CF52CC"/>
    <w:rsid w:val="00D45940"/>
    <w:rsid w:val="00DF09F6"/>
    <w:rsid w:val="00E7039F"/>
    <w:rsid w:val="00F07A2B"/>
    <w:rsid w:val="00F93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1C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251C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4251C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25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5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D32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3A4423"/>
    <w:pPr>
      <w:spacing w:after="0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1C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251C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4251C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25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5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D32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3A4423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C1832-4797-4482-BFE9-B6568690E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adelphi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Bible</dc:creator>
  <cp:lastModifiedBy>Excerpta Medica</cp:lastModifiedBy>
  <cp:revision>2</cp:revision>
  <dcterms:created xsi:type="dcterms:W3CDTF">2017-02-15T15:27:00Z</dcterms:created>
  <dcterms:modified xsi:type="dcterms:W3CDTF">2017-02-15T15:27:00Z</dcterms:modified>
</cp:coreProperties>
</file>