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AD7" w:rsidRDefault="00895AD7" w:rsidP="00895AD7">
      <w:pPr>
        <w:rPr>
          <w:lang w:val="en-US"/>
        </w:rPr>
      </w:pPr>
      <w:r>
        <w:rPr>
          <w:noProof/>
          <w:lang w:val="da-DK"/>
        </w:rPr>
        <w:drawing>
          <wp:inline distT="0" distB="0" distL="0" distR="0" wp14:anchorId="0E313020" wp14:editId="100FE583">
            <wp:extent cx="6332220" cy="5790565"/>
            <wp:effectExtent l="0" t="0" r="0" b="63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579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AD7" w:rsidRDefault="00895AD7" w:rsidP="00895AD7">
      <w:pPr>
        <w:rPr>
          <w:b w:val="0"/>
          <w:sz w:val="24"/>
          <w:szCs w:val="24"/>
        </w:rPr>
      </w:pPr>
      <w:r>
        <w:rPr>
          <w:sz w:val="24"/>
          <w:szCs w:val="24"/>
        </w:rPr>
        <w:t>Figure S2</w:t>
      </w:r>
      <w:r w:rsidRPr="0068122E">
        <w:rPr>
          <w:sz w:val="24"/>
          <w:szCs w:val="24"/>
        </w:rPr>
        <w:t xml:space="preserve">. </w:t>
      </w:r>
      <w:r w:rsidRPr="0068122E">
        <w:rPr>
          <w:b w:val="0"/>
          <w:sz w:val="24"/>
          <w:szCs w:val="24"/>
        </w:rPr>
        <w:t xml:space="preserve">Mechanistic network of inhibited TGF-β1 </w:t>
      </w:r>
      <w:r>
        <w:rPr>
          <w:b w:val="0"/>
          <w:sz w:val="24"/>
          <w:szCs w:val="24"/>
        </w:rPr>
        <w:t>and t</w:t>
      </w:r>
      <w:r w:rsidRPr="0068122E">
        <w:rPr>
          <w:b w:val="0"/>
          <w:sz w:val="24"/>
          <w:szCs w:val="24"/>
        </w:rPr>
        <w:t xml:space="preserve">he three most interconnected regulators </w:t>
      </w:r>
      <w:r>
        <w:rPr>
          <w:b w:val="0"/>
          <w:sz w:val="24"/>
          <w:szCs w:val="24"/>
        </w:rPr>
        <w:t>(</w:t>
      </w:r>
      <w:r w:rsidRPr="0068122E">
        <w:rPr>
          <w:b w:val="0"/>
          <w:sz w:val="24"/>
          <w:szCs w:val="24"/>
        </w:rPr>
        <w:t>SMAD3, HIF1A and PPARG</w:t>
      </w:r>
      <w:r>
        <w:rPr>
          <w:b w:val="0"/>
          <w:sz w:val="24"/>
          <w:szCs w:val="24"/>
        </w:rPr>
        <w:t>) of downstream molecules identified differentially expressed in responders at the time of progression</w:t>
      </w:r>
      <w:r w:rsidRPr="0068122E">
        <w:rPr>
          <w:b w:val="0"/>
          <w:sz w:val="24"/>
          <w:szCs w:val="24"/>
        </w:rPr>
        <w:t>.</w:t>
      </w:r>
    </w:p>
    <w:p w:rsidR="00BA5CA5" w:rsidRDefault="00BA5CA5">
      <w:bookmarkStart w:id="0" w:name="_GoBack"/>
      <w:bookmarkEnd w:id="0"/>
    </w:p>
    <w:sectPr w:rsidR="00BA5CA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D7"/>
    <w:rsid w:val="00895AD7"/>
    <w:rsid w:val="00BA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AD7"/>
    <w:pPr>
      <w:spacing w:after="0" w:line="240" w:lineRule="auto"/>
    </w:pPr>
    <w:rPr>
      <w:rFonts w:ascii="Calibri" w:eastAsia="Times New Roman" w:hAnsi="Calibri" w:cs="Arial"/>
      <w:b/>
      <w:bCs/>
      <w:sz w:val="26"/>
      <w:szCs w:val="26"/>
      <w:lang w:val="en-GB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5AD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5AD7"/>
    <w:rPr>
      <w:rFonts w:ascii="Tahoma" w:eastAsia="Times New Roman" w:hAnsi="Tahoma" w:cs="Tahoma"/>
      <w:b/>
      <w:bCs/>
      <w:sz w:val="16"/>
      <w:szCs w:val="16"/>
      <w:lang w:val="en-GB"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AD7"/>
    <w:pPr>
      <w:spacing w:after="0" w:line="240" w:lineRule="auto"/>
    </w:pPr>
    <w:rPr>
      <w:rFonts w:ascii="Calibri" w:eastAsia="Times New Roman" w:hAnsi="Calibri" w:cs="Arial"/>
      <w:b/>
      <w:bCs/>
      <w:sz w:val="26"/>
      <w:szCs w:val="26"/>
      <w:lang w:val="en-GB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95AD7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95AD7"/>
    <w:rPr>
      <w:rFonts w:ascii="Tahoma" w:eastAsia="Times New Roman" w:hAnsi="Tahoma" w:cs="Tahoma"/>
      <w:b/>
      <w:bCs/>
      <w:sz w:val="16"/>
      <w:szCs w:val="16"/>
      <w:lang w:val="en-GB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Hovedstaden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Toft</dc:creator>
  <cp:lastModifiedBy>Anders Toft</cp:lastModifiedBy>
  <cp:revision>1</cp:revision>
  <dcterms:created xsi:type="dcterms:W3CDTF">2017-03-26T09:48:00Z</dcterms:created>
  <dcterms:modified xsi:type="dcterms:W3CDTF">2017-03-26T09:49:00Z</dcterms:modified>
</cp:coreProperties>
</file>