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49" w:rsidRDefault="00FD7349" w:rsidP="00FD7349">
      <w:pPr>
        <w:autoSpaceDE w:val="0"/>
        <w:autoSpaceDN w:val="0"/>
        <w:adjustRightInd w:val="0"/>
        <w:snapToGrid w:val="0"/>
        <w:spacing w:afterLines="100" w:after="312" w:line="480" w:lineRule="auto"/>
        <w:rPr>
          <w:b/>
          <w:color w:val="000000"/>
          <w:sz w:val="24"/>
        </w:rPr>
      </w:pPr>
      <w:r w:rsidRPr="00BB2CA7">
        <w:rPr>
          <w:b/>
          <w:kern w:val="0"/>
          <w:sz w:val="24"/>
        </w:rPr>
        <w:t xml:space="preserve">Additional file </w:t>
      </w:r>
      <w:r w:rsidRPr="00BB2CA7">
        <w:rPr>
          <w:rFonts w:hint="eastAsia"/>
          <w:b/>
          <w:kern w:val="0"/>
          <w:sz w:val="24"/>
        </w:rPr>
        <w:t>3</w:t>
      </w:r>
      <w:r>
        <w:rPr>
          <w:rFonts w:hint="eastAsia"/>
          <w:b/>
          <w:kern w:val="0"/>
          <w:sz w:val="24"/>
        </w:rPr>
        <w:t xml:space="preserve">. </w:t>
      </w:r>
      <w:r w:rsidRPr="00C40EEF">
        <w:rPr>
          <w:b/>
          <w:color w:val="000000"/>
          <w:sz w:val="24"/>
        </w:rPr>
        <w:t>Figure S1</w:t>
      </w:r>
    </w:p>
    <w:p w:rsidR="00FD7349" w:rsidRDefault="00FD7349" w:rsidP="00FD7349">
      <w:pPr>
        <w:autoSpaceDE w:val="0"/>
        <w:autoSpaceDN w:val="0"/>
        <w:adjustRightInd w:val="0"/>
        <w:snapToGrid w:val="0"/>
        <w:spacing w:afterLines="100" w:after="312" w:line="480" w:lineRule="auto"/>
        <w:rPr>
          <w:b/>
          <w:color w:val="000000"/>
          <w:sz w:val="24"/>
        </w:rPr>
      </w:pPr>
      <w:r>
        <w:rPr>
          <w:b/>
          <w:noProof/>
          <w:color w:val="000000"/>
          <w:sz w:val="24"/>
        </w:rPr>
        <w:drawing>
          <wp:inline distT="0" distB="0" distL="0" distR="0" wp14:anchorId="0A86DA92" wp14:editId="727BC2D7">
            <wp:extent cx="5313872" cy="1875840"/>
            <wp:effectExtent l="0" t="0" r="1270" b="0"/>
            <wp:docPr id="1" name="图片 1" descr="E:\已投文章\148a文章终\BMC cancer\Figure(s)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已投文章\148a文章终\BMC cancer\Figure(s)\Figure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69" cy="187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349" w:rsidRPr="00C40EEF" w:rsidRDefault="00FD7349" w:rsidP="00FD7349">
      <w:pPr>
        <w:autoSpaceDE w:val="0"/>
        <w:autoSpaceDN w:val="0"/>
        <w:adjustRightInd w:val="0"/>
        <w:snapToGrid w:val="0"/>
        <w:spacing w:line="480" w:lineRule="auto"/>
        <w:rPr>
          <w:b/>
          <w:color w:val="000000"/>
          <w:sz w:val="24"/>
        </w:rPr>
      </w:pPr>
      <w:r w:rsidRPr="00C40EEF">
        <w:rPr>
          <w:color w:val="000000"/>
          <w:sz w:val="24"/>
        </w:rPr>
        <w:t>Figure S1</w:t>
      </w:r>
      <w:r w:rsidRPr="00C40EEF">
        <w:rPr>
          <w:rFonts w:hint="eastAsia"/>
          <w:color w:val="000000"/>
          <w:sz w:val="24"/>
        </w:rPr>
        <w:t xml:space="preserve">. </w:t>
      </w:r>
      <w:r>
        <w:rPr>
          <w:color w:val="000000"/>
          <w:sz w:val="24"/>
        </w:rPr>
        <w:t xml:space="preserve">Hs-578T cells </w:t>
      </w:r>
      <w:r>
        <w:rPr>
          <w:rFonts w:eastAsia="Times New Roman"/>
          <w:kern w:val="0"/>
          <w:sz w:val="24"/>
        </w:rPr>
        <w:t xml:space="preserve">were exposed to </w:t>
      </w:r>
      <w:r>
        <w:rPr>
          <w:rFonts w:eastAsiaTheme="minorEastAsia" w:hint="eastAsia"/>
          <w:kern w:val="0"/>
          <w:sz w:val="24"/>
        </w:rPr>
        <w:t xml:space="preserve">0, </w:t>
      </w:r>
      <w:r>
        <w:rPr>
          <w:rFonts w:eastAsia="Times New Roman"/>
          <w:kern w:val="0"/>
          <w:sz w:val="24"/>
        </w:rPr>
        <w:t>10</w:t>
      </w:r>
      <w:r>
        <w:rPr>
          <w:kern w:val="0"/>
          <w:sz w:val="24"/>
        </w:rPr>
        <w:t xml:space="preserve"> or 20</w:t>
      </w:r>
      <w:r>
        <w:rPr>
          <w:rFonts w:eastAsia="Times New Roman"/>
          <w:kern w:val="0"/>
          <w:sz w:val="24"/>
        </w:rPr>
        <w:t xml:space="preserve"> μM GLA for</w:t>
      </w:r>
      <w:r>
        <w:rPr>
          <w:kern w:val="0"/>
          <w:sz w:val="24"/>
        </w:rPr>
        <w:t xml:space="preserve"> </w:t>
      </w:r>
      <w:r>
        <w:rPr>
          <w:rFonts w:eastAsia="Times New Roman"/>
          <w:kern w:val="0"/>
          <w:sz w:val="24"/>
        </w:rPr>
        <w:t xml:space="preserve">48 h, and </w:t>
      </w:r>
      <w:r>
        <w:rPr>
          <w:kern w:val="0"/>
          <w:sz w:val="24"/>
        </w:rPr>
        <w:t>conditioned</w:t>
      </w:r>
      <w:r>
        <w:rPr>
          <w:sz w:val="24"/>
        </w:rPr>
        <w:t xml:space="preserve"> media w</w:t>
      </w:r>
      <w:r>
        <w:rPr>
          <w:rFonts w:hint="eastAsia"/>
          <w:sz w:val="24"/>
        </w:rPr>
        <w:t>as</w:t>
      </w:r>
      <w:r>
        <w:rPr>
          <w:sz w:val="24"/>
        </w:rPr>
        <w:t xml:space="preserve"> collected. (</w:t>
      </w:r>
      <w:r>
        <w:rPr>
          <w:rFonts w:hint="eastAsia"/>
          <w:sz w:val="24"/>
        </w:rPr>
        <w:t>A</w:t>
      </w:r>
      <w:r>
        <w:rPr>
          <w:sz w:val="24"/>
        </w:rPr>
        <w:t xml:space="preserve">) The </w:t>
      </w:r>
      <w:r>
        <w:rPr>
          <w:rFonts w:eastAsia="Times New Roman"/>
          <w:kern w:val="0"/>
          <w:sz w:val="24"/>
        </w:rPr>
        <w:t xml:space="preserve">ELISA was used to detect </w:t>
      </w:r>
      <w:r>
        <w:rPr>
          <w:sz w:val="24"/>
        </w:rPr>
        <w:t>the effects of GLA on VEGF secretion</w:t>
      </w:r>
      <w:r>
        <w:rPr>
          <w:kern w:val="0"/>
          <w:sz w:val="24"/>
        </w:rPr>
        <w:t xml:space="preserve"> (mean </w:t>
      </w:r>
      <w:r>
        <w:rPr>
          <w:rFonts w:eastAsia="AdvP4C4E74"/>
          <w:kern w:val="0"/>
          <w:sz w:val="24"/>
        </w:rPr>
        <w:t xml:space="preserve">± </w:t>
      </w:r>
      <w:r>
        <w:rPr>
          <w:kern w:val="0"/>
          <w:sz w:val="24"/>
        </w:rPr>
        <w:t>SD, n = 3).</w:t>
      </w:r>
      <w:r>
        <w:rPr>
          <w:color w:val="000000"/>
          <w:sz w:val="24"/>
        </w:rPr>
        <w:t xml:space="preserve"> </w:t>
      </w:r>
      <w:r>
        <w:rPr>
          <w:kern w:val="0"/>
          <w:sz w:val="24"/>
        </w:rPr>
        <w:t>MDA-MB-231</w:t>
      </w:r>
      <w:r>
        <w:rPr>
          <w:color w:val="000000"/>
          <w:sz w:val="24"/>
        </w:rPr>
        <w:t xml:space="preserve"> or Hs-578T</w:t>
      </w:r>
      <w:r>
        <w:rPr>
          <w:kern w:val="0"/>
          <w:sz w:val="24"/>
        </w:rPr>
        <w:t xml:space="preserve"> cells were </w:t>
      </w:r>
      <w:bookmarkStart w:id="0" w:name="OLE_LINK3"/>
      <w:r>
        <w:rPr>
          <w:kern w:val="0"/>
          <w:sz w:val="24"/>
        </w:rPr>
        <w:t>exposed to</w:t>
      </w:r>
      <w:bookmarkEnd w:id="0"/>
      <w:r>
        <w:rPr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0, </w:t>
      </w:r>
      <w:r>
        <w:rPr>
          <w:kern w:val="0"/>
          <w:sz w:val="24"/>
        </w:rPr>
        <w:t>10 or 20 μM GLA for 48 h</w:t>
      </w:r>
      <w:r>
        <w:rPr>
          <w:rFonts w:hint="eastAsia"/>
          <w:kern w:val="0"/>
          <w:sz w:val="24"/>
        </w:rPr>
        <w:t>, (B</w:t>
      </w:r>
      <w:r>
        <w:rPr>
          <w:kern w:val="0"/>
          <w:sz w:val="24"/>
        </w:rPr>
        <w:t>)</w:t>
      </w:r>
      <w:r>
        <w:rPr>
          <w:rFonts w:hint="eastAsia"/>
          <w:kern w:val="0"/>
          <w:sz w:val="24"/>
        </w:rPr>
        <w:t xml:space="preserve"> </w:t>
      </w:r>
      <w:r>
        <w:rPr>
          <w:rFonts w:eastAsia="Times New Roman"/>
          <w:kern w:val="0"/>
          <w:sz w:val="24"/>
        </w:rPr>
        <w:t xml:space="preserve">qRT-PCR </w:t>
      </w:r>
      <w:r>
        <w:rPr>
          <w:kern w:val="0"/>
          <w:sz w:val="24"/>
        </w:rPr>
        <w:t>analyses</w:t>
      </w:r>
      <w:r>
        <w:rPr>
          <w:rFonts w:hint="eastAsia"/>
          <w:kern w:val="0"/>
          <w:sz w:val="24"/>
        </w:rPr>
        <w:t xml:space="preserve"> the mRNA level </w:t>
      </w:r>
      <w:r>
        <w:rPr>
          <w:kern w:val="0"/>
          <w:sz w:val="24"/>
        </w:rPr>
        <w:t xml:space="preserve">of miR-148a (mean </w:t>
      </w:r>
      <w:r>
        <w:rPr>
          <w:rFonts w:eastAsia="AdvP4C4E74"/>
          <w:kern w:val="0"/>
          <w:sz w:val="24"/>
        </w:rPr>
        <w:t xml:space="preserve">± </w:t>
      </w:r>
      <w:r>
        <w:rPr>
          <w:kern w:val="0"/>
          <w:sz w:val="24"/>
        </w:rPr>
        <w:t>SD, n = 3)</w:t>
      </w:r>
      <w:r>
        <w:rPr>
          <w:rFonts w:hint="eastAsia"/>
          <w:kern w:val="0"/>
          <w:sz w:val="24"/>
        </w:rPr>
        <w:t xml:space="preserve">. The breast cancer cells </w:t>
      </w:r>
      <w:r w:rsidRPr="00A0243F">
        <w:rPr>
          <w:kern w:val="0"/>
          <w:sz w:val="24"/>
        </w:rPr>
        <w:t xml:space="preserve">transfected by </w:t>
      </w:r>
      <w:r w:rsidRPr="00DB5788">
        <w:rPr>
          <w:rFonts w:hint="eastAsia"/>
          <w:kern w:val="0"/>
          <w:sz w:val="24"/>
        </w:rPr>
        <w:t>a</w:t>
      </w:r>
      <w:r w:rsidRPr="00DB5788">
        <w:rPr>
          <w:kern w:val="0"/>
          <w:sz w:val="24"/>
        </w:rPr>
        <w:t>nti-miR-negative control</w:t>
      </w:r>
      <w:r w:rsidRPr="00A0243F">
        <w:rPr>
          <w:kern w:val="0"/>
          <w:sz w:val="24"/>
        </w:rPr>
        <w:t xml:space="preserve"> or anti-miR-148a for 12 h</w:t>
      </w:r>
      <w:r>
        <w:rPr>
          <w:rFonts w:hint="eastAsia"/>
          <w:kern w:val="0"/>
          <w:sz w:val="24"/>
        </w:rPr>
        <w:t>, (C</w:t>
      </w:r>
      <w:r>
        <w:rPr>
          <w:kern w:val="0"/>
          <w:sz w:val="24"/>
        </w:rPr>
        <w:t>)</w:t>
      </w:r>
      <w:r>
        <w:rPr>
          <w:rFonts w:hint="eastAsia"/>
          <w:kern w:val="0"/>
          <w:sz w:val="24"/>
        </w:rPr>
        <w:t xml:space="preserve"> t</w:t>
      </w:r>
      <w:r w:rsidRPr="00AC1FC0">
        <w:rPr>
          <w:kern w:val="0"/>
          <w:sz w:val="24"/>
        </w:rPr>
        <w:t xml:space="preserve">he efficiency of gene transfection </w:t>
      </w:r>
      <w:r>
        <w:rPr>
          <w:rFonts w:hint="eastAsia"/>
          <w:kern w:val="0"/>
          <w:sz w:val="24"/>
        </w:rPr>
        <w:t xml:space="preserve">was </w:t>
      </w:r>
      <w:r>
        <w:rPr>
          <w:kern w:val="0"/>
          <w:sz w:val="24"/>
        </w:rPr>
        <w:t>analy</w:t>
      </w:r>
      <w:r>
        <w:rPr>
          <w:rFonts w:hint="eastAsia"/>
          <w:kern w:val="0"/>
          <w:sz w:val="24"/>
        </w:rPr>
        <w:t>s</w:t>
      </w:r>
      <w:r>
        <w:rPr>
          <w:kern w:val="0"/>
          <w:sz w:val="24"/>
        </w:rPr>
        <w:t>e</w:t>
      </w:r>
      <w:r>
        <w:rPr>
          <w:rFonts w:hint="eastAsia"/>
          <w:kern w:val="0"/>
          <w:sz w:val="24"/>
        </w:rPr>
        <w:t>d by</w:t>
      </w:r>
      <w:r>
        <w:rPr>
          <w:rFonts w:eastAsia="Times New Roman"/>
          <w:kern w:val="0"/>
          <w:sz w:val="24"/>
        </w:rPr>
        <w:t xml:space="preserve"> qRT-PCR </w:t>
      </w:r>
      <w:r>
        <w:rPr>
          <w:kern w:val="0"/>
          <w:sz w:val="24"/>
        </w:rPr>
        <w:t xml:space="preserve">(mean </w:t>
      </w:r>
      <w:r>
        <w:rPr>
          <w:rFonts w:eastAsia="AdvP4C4E74"/>
          <w:kern w:val="0"/>
          <w:sz w:val="24"/>
        </w:rPr>
        <w:t xml:space="preserve">± </w:t>
      </w:r>
      <w:r>
        <w:rPr>
          <w:kern w:val="0"/>
          <w:sz w:val="24"/>
        </w:rPr>
        <w:t>SD, n = 3)</w:t>
      </w:r>
      <w:r>
        <w:rPr>
          <w:rFonts w:hint="eastAsia"/>
          <w:kern w:val="0"/>
          <w:sz w:val="24"/>
        </w:rPr>
        <w:t>;</w:t>
      </w:r>
      <w:bookmarkStart w:id="1" w:name="OLE_LINK1"/>
      <w:bookmarkStart w:id="2" w:name="OLE_LINK2"/>
      <w:r>
        <w:rPr>
          <w:rFonts w:hint="eastAsia"/>
          <w:kern w:val="0"/>
          <w:sz w:val="24"/>
        </w:rPr>
        <w:t xml:space="preserve"> </w:t>
      </w:r>
      <w:r w:rsidRPr="000F2C27">
        <w:rPr>
          <w:kern w:val="0"/>
          <w:sz w:val="24"/>
          <w:vertAlign w:val="superscript"/>
        </w:rPr>
        <w:t>*</w:t>
      </w:r>
      <w:r>
        <w:rPr>
          <w:kern w:val="0"/>
          <w:sz w:val="24"/>
        </w:rPr>
        <w:t>P &lt; 0.05</w:t>
      </w:r>
      <w:r>
        <w:rPr>
          <w:rFonts w:hint="eastAsia"/>
          <w:kern w:val="0"/>
          <w:sz w:val="24"/>
        </w:rPr>
        <w:t>,</w:t>
      </w:r>
      <w:r>
        <w:rPr>
          <w:kern w:val="0"/>
          <w:sz w:val="24"/>
        </w:rPr>
        <w:t xml:space="preserve"> </w:t>
      </w:r>
      <w:r w:rsidRPr="000F2C27">
        <w:rPr>
          <w:kern w:val="0"/>
          <w:sz w:val="24"/>
          <w:vertAlign w:val="superscript"/>
        </w:rPr>
        <w:t>**</w:t>
      </w:r>
      <w:r>
        <w:rPr>
          <w:kern w:val="0"/>
          <w:sz w:val="24"/>
        </w:rPr>
        <w:t xml:space="preserve">P &lt; 0.01 </w:t>
      </w:r>
      <w:r>
        <w:rPr>
          <w:rFonts w:hint="eastAsia"/>
          <w:kern w:val="0"/>
          <w:sz w:val="24"/>
        </w:rPr>
        <w:t xml:space="preserve">and </w:t>
      </w:r>
      <w:r w:rsidRPr="000F2C27">
        <w:rPr>
          <w:sz w:val="24"/>
          <w:vertAlign w:val="superscript"/>
        </w:rPr>
        <w:t>***</w:t>
      </w:r>
      <w:r>
        <w:rPr>
          <w:sz w:val="24"/>
        </w:rPr>
        <w:t>P &lt; 0.001</w:t>
      </w:r>
      <w:r>
        <w:rPr>
          <w:rFonts w:hint="eastAsia"/>
          <w:sz w:val="24"/>
        </w:rPr>
        <w:t xml:space="preserve"> </w:t>
      </w:r>
      <w:r>
        <w:rPr>
          <w:kern w:val="0"/>
          <w:sz w:val="24"/>
        </w:rPr>
        <w:t>compared with the control cells</w:t>
      </w:r>
      <w:bookmarkEnd w:id="1"/>
      <w:bookmarkEnd w:id="2"/>
      <w:r>
        <w:rPr>
          <w:rFonts w:hint="eastAsia"/>
          <w:kern w:val="0"/>
          <w:sz w:val="24"/>
        </w:rPr>
        <w:t>.</w:t>
      </w:r>
    </w:p>
    <w:p w:rsidR="004C306A" w:rsidRPr="00FD7349" w:rsidRDefault="004C306A" w:rsidP="00FD7349">
      <w:bookmarkStart w:id="3" w:name="_GoBack"/>
      <w:bookmarkEnd w:id="3"/>
    </w:p>
    <w:sectPr w:rsidR="004C306A" w:rsidRPr="00FD7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7F4" w:rsidRDefault="003977F4" w:rsidP="00DB276F">
      <w:r>
        <w:separator/>
      </w:r>
    </w:p>
  </w:endnote>
  <w:endnote w:type="continuationSeparator" w:id="0">
    <w:p w:rsidR="003977F4" w:rsidRDefault="003977F4" w:rsidP="00DB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4C4E74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7F4" w:rsidRDefault="003977F4" w:rsidP="00DB276F">
      <w:r>
        <w:separator/>
      </w:r>
    </w:p>
  </w:footnote>
  <w:footnote w:type="continuationSeparator" w:id="0">
    <w:p w:rsidR="003977F4" w:rsidRDefault="003977F4" w:rsidP="00DB2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57"/>
    <w:rsid w:val="00146757"/>
    <w:rsid w:val="00165BD8"/>
    <w:rsid w:val="001B7E28"/>
    <w:rsid w:val="003977F4"/>
    <w:rsid w:val="003F2A5C"/>
    <w:rsid w:val="004C306A"/>
    <w:rsid w:val="006950B3"/>
    <w:rsid w:val="00DB276F"/>
    <w:rsid w:val="00FD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76F"/>
    <w:rPr>
      <w:sz w:val="18"/>
      <w:szCs w:val="18"/>
    </w:rPr>
  </w:style>
  <w:style w:type="table" w:styleId="a5">
    <w:name w:val="Table Grid"/>
    <w:basedOn w:val="a1"/>
    <w:uiPriority w:val="59"/>
    <w:rsid w:val="003F2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A5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D73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D734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76F"/>
    <w:rPr>
      <w:sz w:val="18"/>
      <w:szCs w:val="18"/>
    </w:rPr>
  </w:style>
  <w:style w:type="table" w:styleId="a5">
    <w:name w:val="Table Grid"/>
    <w:basedOn w:val="a1"/>
    <w:uiPriority w:val="59"/>
    <w:rsid w:val="003F2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A5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D73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D734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526</Characters>
  <Application>Microsoft Office Word</Application>
  <DocSecurity>0</DocSecurity>
  <Lines>4</Lines>
  <Paragraphs>1</Paragraphs>
  <ScaleCrop>false</ScaleCrop>
  <Company>http://sdwm.org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15</cp:revision>
  <cp:lastPrinted>2017-02-15T13:29:00Z</cp:lastPrinted>
  <dcterms:created xsi:type="dcterms:W3CDTF">2017-02-15T13:23:00Z</dcterms:created>
  <dcterms:modified xsi:type="dcterms:W3CDTF">2017-02-15T13:32:00Z</dcterms:modified>
</cp:coreProperties>
</file>