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E58" w:rsidRPr="00527865" w:rsidRDefault="00AC3E58" w:rsidP="00CC0848">
      <w:pPr>
        <w:pStyle w:val="Heading1"/>
        <w:jc w:val="center"/>
        <w:rPr>
          <w:rFonts w:cs="Times New Roman"/>
          <w:sz w:val="32"/>
          <w:szCs w:val="32"/>
        </w:rPr>
      </w:pPr>
      <w:bookmarkStart w:id="0" w:name="_GoBack"/>
      <w:bookmarkEnd w:id="0"/>
      <w:r>
        <w:rPr>
          <w:i/>
          <w:iCs/>
          <w:sz w:val="32"/>
          <w:szCs w:val="32"/>
        </w:rPr>
        <w:t>Patient care pathway for cancer patients requiring an urgent ERCP for biliary decompression</w:t>
      </w:r>
    </w:p>
    <w:tbl>
      <w:tblPr>
        <w:tblW w:w="0" w:type="auto"/>
        <w:tblInd w:w="-106" w:type="dxa"/>
        <w:tblLook w:val="01E0" w:firstRow="1" w:lastRow="1" w:firstColumn="1" w:lastColumn="1" w:noHBand="0" w:noVBand="0"/>
      </w:tblPr>
      <w:tblGrid>
        <w:gridCol w:w="2497"/>
        <w:gridCol w:w="546"/>
        <w:gridCol w:w="1600"/>
        <w:gridCol w:w="4643"/>
      </w:tblGrid>
      <w:tr w:rsidR="00AC3E58" w:rsidRPr="00C07A80">
        <w:tc>
          <w:tcPr>
            <w:tcW w:w="2497" w:type="dxa"/>
            <w:shd w:val="clear" w:color="auto" w:fill="EEECE1"/>
            <w:vAlign w:val="center"/>
          </w:tcPr>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Pr="005877E8" w:rsidRDefault="00AC3E58" w:rsidP="00DB5EE1">
            <w:pPr>
              <w:widowControl w:val="0"/>
              <w:jc w:val="center"/>
              <w:rPr>
                <w:rFonts w:ascii="Arial" w:hAnsi="Arial" w:cs="Arial"/>
                <w:b/>
                <w:bCs/>
                <w:caps/>
                <w:color w:val="003366"/>
                <w:lang w:eastAsia="en-GB"/>
              </w:rPr>
            </w:pPr>
            <w:r w:rsidRPr="005877E8">
              <w:rPr>
                <w:rFonts w:ascii="Arial" w:hAnsi="Arial" w:cs="Arial"/>
                <w:b/>
                <w:bCs/>
                <w:caps/>
                <w:color w:val="003366"/>
                <w:sz w:val="22"/>
                <w:szCs w:val="22"/>
                <w:lang w:eastAsia="en-GB"/>
              </w:rPr>
              <w:t>pre-procedure</w:t>
            </w: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Pr="00C07A80" w:rsidRDefault="00AC3E58" w:rsidP="00DB5EE1">
            <w:pPr>
              <w:widowControl w:val="0"/>
              <w:jc w:val="center"/>
              <w:rPr>
                <w:rFonts w:ascii="Arial" w:hAnsi="Arial" w:cs="Arial"/>
                <w:b/>
                <w:bCs/>
                <w:caps/>
                <w:color w:val="003366"/>
                <w:lang w:eastAsia="en-GB"/>
              </w:rPr>
            </w:pPr>
          </w:p>
        </w:tc>
        <w:tc>
          <w:tcPr>
            <w:tcW w:w="546" w:type="dxa"/>
            <w:tcBorders>
              <w:right w:val="single" w:sz="4" w:space="0" w:color="948A54"/>
            </w:tcBorders>
            <w:vAlign w:val="center"/>
          </w:tcPr>
          <w:p w:rsidR="00AC3E58" w:rsidRPr="00C07A80" w:rsidRDefault="00826D4D" w:rsidP="00DB5EE1">
            <w:pPr>
              <w:rPr>
                <w:rFonts w:ascii="Arial" w:hAnsi="Arial" w:cs="Arial"/>
                <w:lang w:eastAsia="en-GB"/>
              </w:rPr>
            </w:pPr>
            <w:r>
              <w:rPr>
                <w:rFonts w:ascii="Arial" w:hAnsi="Arial" w:cs="Arial"/>
                <w:noProof/>
                <w:lang w:eastAsia="en-GB"/>
              </w:rPr>
              <w:drawing>
                <wp:inline distT="0" distB="0" distL="0" distR="0">
                  <wp:extent cx="209550" cy="333375"/>
                  <wp:effectExtent l="0" t="0" r="0" b="9525"/>
                  <wp:docPr id="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333375"/>
                          </a:xfrm>
                          <a:prstGeom prst="rect">
                            <a:avLst/>
                          </a:prstGeom>
                          <a:noFill/>
                          <a:ln>
                            <a:noFill/>
                          </a:ln>
                        </pic:spPr>
                      </pic:pic>
                    </a:graphicData>
                  </a:graphic>
                </wp:inline>
              </w:drawing>
            </w:r>
          </w:p>
        </w:tc>
        <w:tc>
          <w:tcPr>
            <w:tcW w:w="6243" w:type="dxa"/>
            <w:gridSpan w:val="2"/>
            <w:tcBorders>
              <w:top w:val="single" w:sz="4" w:space="0" w:color="948A54"/>
              <w:left w:val="single" w:sz="4" w:space="0" w:color="948A54"/>
              <w:bottom w:val="single" w:sz="4" w:space="0" w:color="948A54"/>
              <w:right w:val="single" w:sz="4" w:space="0" w:color="948A54"/>
            </w:tcBorders>
          </w:tcPr>
          <w:p w:rsidR="00AC3E58" w:rsidRPr="00251F9D" w:rsidRDefault="00AC3E58" w:rsidP="00DB5EE1">
            <w:pPr>
              <w:numPr>
                <w:ilvl w:val="0"/>
                <w:numId w:val="1"/>
              </w:numPr>
              <w:spacing w:before="60" w:after="60"/>
              <w:ind w:left="476" w:hanging="476"/>
              <w:rPr>
                <w:rFonts w:ascii="Arial" w:hAnsi="Arial" w:cs="Arial"/>
                <w:i/>
                <w:iCs/>
                <w:lang w:eastAsia="en-GB"/>
              </w:rPr>
            </w:pPr>
            <w:bookmarkStart w:id="1" w:name="OLE_LINK1"/>
            <w:r w:rsidRPr="00251F9D">
              <w:rPr>
                <w:rFonts w:ascii="Arial" w:hAnsi="Arial" w:cs="Arial"/>
                <w:sz w:val="22"/>
                <w:szCs w:val="22"/>
                <w:lang w:eastAsia="en-GB"/>
              </w:rPr>
              <w:t>During the clinical review the decision to carry out an ERCP</w:t>
            </w:r>
            <w:r>
              <w:rPr>
                <w:rFonts w:ascii="Arial" w:hAnsi="Arial" w:cs="Arial"/>
                <w:sz w:val="22"/>
                <w:szCs w:val="22"/>
                <w:lang w:eastAsia="en-GB"/>
              </w:rPr>
              <w:t xml:space="preserve"> (endoscopic retrograde cholangiopancreatogram)</w:t>
            </w:r>
            <w:r w:rsidRPr="00251F9D">
              <w:rPr>
                <w:rFonts w:ascii="Arial" w:hAnsi="Arial" w:cs="Arial"/>
                <w:sz w:val="22"/>
                <w:szCs w:val="22"/>
                <w:lang w:eastAsia="en-GB"/>
              </w:rPr>
              <w:t xml:space="preserve"> procedure will be discussed with the patient. (This may be during clinic, A&amp;E or Supportive Care if the patient has presented as an emergency</w:t>
            </w:r>
            <w:r>
              <w:rPr>
                <w:rFonts w:ascii="Arial" w:hAnsi="Arial" w:cs="Arial"/>
                <w:sz w:val="22"/>
                <w:szCs w:val="22"/>
                <w:lang w:eastAsia="en-GB"/>
              </w:rPr>
              <w:t xml:space="preserve"> or on ward</w:t>
            </w:r>
            <w:r w:rsidRPr="00251F9D">
              <w:rPr>
                <w:rFonts w:ascii="Arial" w:hAnsi="Arial" w:cs="Arial"/>
                <w:sz w:val="22"/>
                <w:szCs w:val="22"/>
                <w:lang w:eastAsia="en-GB"/>
              </w:rPr>
              <w:t>)</w:t>
            </w:r>
          </w:p>
          <w:p w:rsidR="00AC3E58" w:rsidRPr="00251F9D" w:rsidRDefault="00AC3E58" w:rsidP="00DB5EE1">
            <w:pPr>
              <w:numPr>
                <w:ilvl w:val="0"/>
                <w:numId w:val="1"/>
              </w:numPr>
              <w:spacing w:before="60" w:after="60"/>
              <w:ind w:left="476" w:hanging="459"/>
              <w:rPr>
                <w:rFonts w:ascii="Arial" w:hAnsi="Arial" w:cs="Arial"/>
                <w:i/>
                <w:iCs/>
                <w:lang w:eastAsia="en-GB"/>
              </w:rPr>
            </w:pPr>
            <w:r w:rsidRPr="00251F9D">
              <w:rPr>
                <w:rFonts w:ascii="Arial" w:hAnsi="Arial" w:cs="Arial"/>
                <w:sz w:val="22"/>
                <w:szCs w:val="22"/>
                <w:lang w:eastAsia="en-GB"/>
              </w:rPr>
              <w:t xml:space="preserve">The clinician will ensure that pre-procedure bloods are taken. (Satisfactory results taken within a week may be used): </w:t>
            </w:r>
          </w:p>
          <w:p w:rsidR="00AC3E58" w:rsidRPr="00251F9D" w:rsidRDefault="00AC3E58" w:rsidP="00DB5EE1">
            <w:pPr>
              <w:spacing w:before="60" w:after="60"/>
              <w:ind w:left="476"/>
              <w:rPr>
                <w:rFonts w:ascii="Arial" w:hAnsi="Arial" w:cs="Arial"/>
                <w:lang w:eastAsia="en-GB"/>
              </w:rPr>
            </w:pPr>
            <w:r w:rsidRPr="00251F9D">
              <w:rPr>
                <w:rFonts w:ascii="Arial" w:hAnsi="Arial" w:cs="Arial"/>
                <w:sz w:val="22"/>
                <w:szCs w:val="22"/>
                <w:lang w:eastAsia="en-GB"/>
              </w:rPr>
              <w:t xml:space="preserve">  -  FBC</w:t>
            </w:r>
            <w:r>
              <w:rPr>
                <w:rFonts w:ascii="Arial" w:hAnsi="Arial" w:cs="Arial"/>
                <w:sz w:val="22"/>
                <w:szCs w:val="22"/>
                <w:lang w:eastAsia="en-GB"/>
              </w:rPr>
              <w:t>,</w:t>
            </w:r>
            <w:r w:rsidRPr="00251F9D">
              <w:rPr>
                <w:rFonts w:ascii="Arial" w:hAnsi="Arial" w:cs="Arial"/>
                <w:sz w:val="22"/>
                <w:szCs w:val="22"/>
                <w:lang w:eastAsia="en-GB"/>
              </w:rPr>
              <w:t xml:space="preserve"> Us &amp; Es</w:t>
            </w:r>
            <w:r>
              <w:rPr>
                <w:rFonts w:ascii="Arial" w:hAnsi="Arial" w:cs="Arial"/>
                <w:sz w:val="22"/>
                <w:szCs w:val="22"/>
                <w:lang w:eastAsia="en-GB"/>
              </w:rPr>
              <w:t>, LFTs, CRP</w:t>
            </w:r>
            <w:r w:rsidRPr="00251F9D">
              <w:rPr>
                <w:rFonts w:ascii="Arial" w:hAnsi="Arial" w:cs="Arial"/>
                <w:sz w:val="22"/>
                <w:szCs w:val="22"/>
                <w:lang w:eastAsia="en-GB"/>
              </w:rPr>
              <w:t xml:space="preserve"> </w:t>
            </w:r>
            <w:r>
              <w:rPr>
                <w:rFonts w:ascii="Arial" w:hAnsi="Arial" w:cs="Arial"/>
                <w:sz w:val="22"/>
                <w:szCs w:val="22"/>
                <w:lang w:eastAsia="en-GB"/>
              </w:rPr>
              <w:t xml:space="preserve">, </w:t>
            </w:r>
            <w:r w:rsidRPr="00251F9D">
              <w:rPr>
                <w:rFonts w:ascii="Arial" w:hAnsi="Arial" w:cs="Arial"/>
                <w:sz w:val="22"/>
                <w:szCs w:val="22"/>
                <w:lang w:eastAsia="en-GB"/>
              </w:rPr>
              <w:t>Clotting</w:t>
            </w:r>
          </w:p>
          <w:p w:rsidR="00AC3E58" w:rsidRPr="00251F9D" w:rsidRDefault="00AC3E58" w:rsidP="00CE6251">
            <w:pPr>
              <w:numPr>
                <w:ilvl w:val="0"/>
                <w:numId w:val="10"/>
              </w:numPr>
              <w:tabs>
                <w:tab w:val="clear" w:pos="360"/>
                <w:tab w:val="num" w:pos="557"/>
              </w:tabs>
              <w:spacing w:before="60" w:after="60"/>
              <w:ind w:left="557" w:hanging="557"/>
              <w:rPr>
                <w:rFonts w:ascii="Arial" w:hAnsi="Arial" w:cs="Arial"/>
                <w:lang w:eastAsia="en-GB"/>
              </w:rPr>
            </w:pPr>
            <w:r w:rsidRPr="00251F9D">
              <w:rPr>
                <w:rFonts w:ascii="Arial" w:hAnsi="Arial" w:cs="Arial"/>
                <w:sz w:val="22"/>
                <w:szCs w:val="22"/>
                <w:lang w:eastAsia="en-GB"/>
              </w:rPr>
              <w:t>If not already available, the clinician will ensure that pre</w:t>
            </w:r>
            <w:r>
              <w:rPr>
                <w:rFonts w:ascii="Arial" w:hAnsi="Arial" w:cs="Arial"/>
                <w:sz w:val="22"/>
                <w:szCs w:val="22"/>
                <w:lang w:eastAsia="en-GB"/>
              </w:rPr>
              <w:t xml:space="preserve"> </w:t>
            </w:r>
            <w:r w:rsidRPr="00251F9D">
              <w:rPr>
                <w:rFonts w:ascii="Arial" w:hAnsi="Arial" w:cs="Arial"/>
                <w:sz w:val="22"/>
                <w:szCs w:val="22"/>
                <w:lang w:eastAsia="en-GB"/>
              </w:rPr>
              <w:t xml:space="preserve">procedure imaging is booked:  </w:t>
            </w:r>
          </w:p>
          <w:p w:rsidR="00AC3E58" w:rsidRDefault="00AC3E58" w:rsidP="00DB5EE1">
            <w:pPr>
              <w:numPr>
                <w:ilvl w:val="1"/>
                <w:numId w:val="10"/>
              </w:numPr>
              <w:tabs>
                <w:tab w:val="clear" w:pos="1457"/>
                <w:tab w:val="num" w:pos="737"/>
              </w:tabs>
              <w:spacing w:before="60" w:after="60"/>
              <w:ind w:left="737" w:hanging="180"/>
              <w:rPr>
                <w:rFonts w:ascii="Arial" w:hAnsi="Arial" w:cs="Arial"/>
                <w:lang w:eastAsia="en-GB"/>
              </w:rPr>
            </w:pPr>
            <w:r>
              <w:rPr>
                <w:rFonts w:ascii="Arial" w:hAnsi="Arial" w:cs="Arial"/>
                <w:sz w:val="22"/>
                <w:szCs w:val="22"/>
                <w:lang w:eastAsia="en-GB"/>
              </w:rPr>
              <w:t>In those patients with fully staged malignancy, u</w:t>
            </w:r>
            <w:r w:rsidRPr="00251F9D">
              <w:rPr>
                <w:rFonts w:ascii="Arial" w:hAnsi="Arial" w:cs="Arial"/>
                <w:sz w:val="22"/>
                <w:szCs w:val="22"/>
                <w:lang w:eastAsia="en-GB"/>
              </w:rPr>
              <w:t xml:space="preserve">ltrasound </w:t>
            </w:r>
            <w:r>
              <w:rPr>
                <w:rFonts w:ascii="Arial" w:hAnsi="Arial" w:cs="Arial"/>
                <w:sz w:val="22"/>
                <w:szCs w:val="22"/>
                <w:lang w:eastAsia="en-GB"/>
              </w:rPr>
              <w:t xml:space="preserve">may be suitable </w:t>
            </w:r>
            <w:r w:rsidRPr="00251F9D">
              <w:rPr>
                <w:rFonts w:ascii="Arial" w:hAnsi="Arial" w:cs="Arial"/>
                <w:sz w:val="22"/>
                <w:szCs w:val="22"/>
                <w:lang w:eastAsia="en-GB"/>
              </w:rPr>
              <w:t>for patients with known low bile duct obstruction. All other patients require a pancreatic protoco</w:t>
            </w:r>
            <w:r>
              <w:rPr>
                <w:rFonts w:ascii="Arial" w:hAnsi="Arial" w:cs="Arial"/>
                <w:sz w:val="22"/>
                <w:szCs w:val="22"/>
                <w:lang w:eastAsia="en-GB"/>
              </w:rPr>
              <w:t>l CT. (Imaging taken within 10 days covering the patient’s current clinical episode may be used)</w:t>
            </w:r>
          </w:p>
          <w:p w:rsidR="00AC3E58" w:rsidRPr="00251F9D" w:rsidRDefault="00AC3E58" w:rsidP="00DB5EE1">
            <w:pPr>
              <w:numPr>
                <w:ilvl w:val="1"/>
                <w:numId w:val="10"/>
              </w:numPr>
              <w:tabs>
                <w:tab w:val="clear" w:pos="1457"/>
                <w:tab w:val="num" w:pos="737"/>
              </w:tabs>
              <w:spacing w:before="60" w:after="60"/>
              <w:ind w:left="737" w:hanging="180"/>
              <w:rPr>
                <w:rFonts w:ascii="Arial" w:hAnsi="Arial" w:cs="Arial"/>
                <w:lang w:eastAsia="en-GB"/>
              </w:rPr>
            </w:pPr>
            <w:r>
              <w:rPr>
                <w:rFonts w:ascii="Arial" w:hAnsi="Arial" w:cs="Arial"/>
                <w:sz w:val="22"/>
                <w:szCs w:val="22"/>
                <w:lang w:eastAsia="en-GB"/>
              </w:rPr>
              <w:t xml:space="preserve">In those patients without fully staged malignancy, staging pancreatic-protocol CT chest abdomen, pelvis. </w:t>
            </w:r>
          </w:p>
          <w:p w:rsidR="00AC3E58" w:rsidRPr="00251F9D" w:rsidRDefault="00AC3E58" w:rsidP="00DB5EE1">
            <w:pPr>
              <w:pStyle w:val="Sofiabullet"/>
              <w:framePr w:hSpace="0" w:wrap="auto" w:vAnchor="margin" w:hAnchor="text" w:xAlign="left" w:yAlign="inline"/>
              <w:ind w:left="557" w:hanging="557"/>
              <w:rPr>
                <w:rFonts w:cs="Times New Roman"/>
                <w:sz w:val="22"/>
                <w:szCs w:val="22"/>
              </w:rPr>
            </w:pPr>
            <w:r w:rsidRPr="00251F9D">
              <w:rPr>
                <w:sz w:val="22"/>
                <w:szCs w:val="22"/>
              </w:rPr>
              <w:t xml:space="preserve">Clinician will contact the Hepatopancreatobiliary (HPB) </w:t>
            </w:r>
            <w:r>
              <w:rPr>
                <w:sz w:val="22"/>
                <w:szCs w:val="22"/>
              </w:rPr>
              <w:t xml:space="preserve">doctor via mobile (Tel: 07939204237) </w:t>
            </w:r>
            <w:r w:rsidRPr="00251F9D">
              <w:rPr>
                <w:sz w:val="22"/>
                <w:szCs w:val="22"/>
              </w:rPr>
              <w:t xml:space="preserve">to confirm </w:t>
            </w:r>
            <w:r>
              <w:rPr>
                <w:sz w:val="22"/>
                <w:szCs w:val="22"/>
              </w:rPr>
              <w:t xml:space="preserve">ERCP request and if required, to arrange a medical review for patients who are admitted for the procedure </w:t>
            </w:r>
          </w:p>
          <w:p w:rsidR="00AC3E58" w:rsidRDefault="00AC3E58" w:rsidP="00DB5EE1">
            <w:pPr>
              <w:pStyle w:val="Sofiabullet"/>
              <w:framePr w:hSpace="0" w:wrap="auto" w:vAnchor="margin" w:hAnchor="text" w:xAlign="left" w:yAlign="inline"/>
              <w:ind w:left="557" w:hanging="557"/>
              <w:rPr>
                <w:rFonts w:cs="Times New Roman"/>
                <w:sz w:val="22"/>
                <w:szCs w:val="22"/>
              </w:rPr>
            </w:pPr>
            <w:r w:rsidRPr="00251F9D">
              <w:rPr>
                <w:sz w:val="22"/>
                <w:szCs w:val="22"/>
              </w:rPr>
              <w:t xml:space="preserve">Clinician will download and complete the electronic UCH </w:t>
            </w:r>
            <w:r>
              <w:rPr>
                <w:sz w:val="22"/>
                <w:szCs w:val="22"/>
              </w:rPr>
              <w:t>Pancreatic</w:t>
            </w:r>
            <w:r w:rsidRPr="00251F9D">
              <w:rPr>
                <w:sz w:val="22"/>
                <w:szCs w:val="22"/>
              </w:rPr>
              <w:t xml:space="preserve">obiliary new patient referral form located </w:t>
            </w:r>
            <w:r>
              <w:rPr>
                <w:sz w:val="22"/>
                <w:szCs w:val="22"/>
              </w:rPr>
              <w:t>at</w:t>
            </w:r>
            <w:r w:rsidRPr="003D52F9">
              <w:rPr>
                <w:color w:val="3366FF"/>
                <w:sz w:val="22"/>
                <w:szCs w:val="22"/>
                <w:u w:val="single"/>
              </w:rPr>
              <w:t>:</w:t>
            </w:r>
            <w:r w:rsidRPr="003D52F9">
              <w:rPr>
                <w:color w:val="3366FF"/>
                <w:u w:val="single"/>
              </w:rPr>
              <w:t xml:space="preserve"> </w:t>
            </w:r>
            <w:r w:rsidRPr="003D52F9">
              <w:rPr>
                <w:color w:val="3366FF"/>
                <w:sz w:val="22"/>
                <w:szCs w:val="22"/>
                <w:u w:val="single"/>
              </w:rPr>
              <w:t>http://www.uclh.nhs.uk/ERCP</w:t>
            </w:r>
            <w:r w:rsidRPr="00251F9D">
              <w:rPr>
                <w:sz w:val="22"/>
                <w:szCs w:val="22"/>
              </w:rPr>
              <w:t xml:space="preserve">. </w:t>
            </w:r>
            <w:r>
              <w:rPr>
                <w:sz w:val="22"/>
                <w:szCs w:val="22"/>
              </w:rPr>
              <w:t xml:space="preserve">         </w:t>
            </w:r>
            <w:r w:rsidRPr="00251F9D">
              <w:rPr>
                <w:sz w:val="22"/>
                <w:szCs w:val="22"/>
              </w:rPr>
              <w:t xml:space="preserve">Completed forms will be emailed to </w:t>
            </w:r>
            <w:hyperlink r:id="rId9" w:history="1">
              <w:r w:rsidRPr="00251F9D">
                <w:rPr>
                  <w:rStyle w:val="Hyperlink"/>
                  <w:sz w:val="22"/>
                  <w:szCs w:val="22"/>
                </w:rPr>
                <w:t>pancmed@uclh.nhs.uk</w:t>
              </w:r>
            </w:hyperlink>
            <w:r w:rsidRPr="00251F9D">
              <w:rPr>
                <w:sz w:val="22"/>
                <w:szCs w:val="22"/>
              </w:rPr>
              <w:t xml:space="preserve"> </w:t>
            </w:r>
          </w:p>
          <w:p w:rsidR="00AC3E58" w:rsidRPr="00251F9D" w:rsidRDefault="00AC3E58" w:rsidP="00DB5EE1">
            <w:pPr>
              <w:pStyle w:val="Sofiabullet"/>
              <w:framePr w:hSpace="0" w:wrap="auto" w:vAnchor="margin" w:hAnchor="text" w:xAlign="left" w:yAlign="inline"/>
              <w:ind w:left="557" w:hanging="557"/>
              <w:rPr>
                <w:rFonts w:cs="Times New Roman"/>
                <w:sz w:val="22"/>
                <w:szCs w:val="22"/>
              </w:rPr>
            </w:pPr>
            <w:r>
              <w:rPr>
                <w:sz w:val="22"/>
                <w:szCs w:val="22"/>
              </w:rPr>
              <w:t>If not already aware, the clinician will inform the HPB clinical nurse specialist (CNS) of the ERCP booking</w:t>
            </w:r>
          </w:p>
          <w:p w:rsidR="00AC3E58" w:rsidRPr="00044E83" w:rsidRDefault="00AC3E58" w:rsidP="00044E83">
            <w:pPr>
              <w:pStyle w:val="Sofiabullet"/>
              <w:framePr w:wrap="auto"/>
              <w:ind w:left="557" w:hanging="540"/>
              <w:rPr>
                <w:sz w:val="22"/>
                <w:szCs w:val="22"/>
              </w:rPr>
            </w:pPr>
            <w:r w:rsidRPr="00044E83">
              <w:rPr>
                <w:sz w:val="22"/>
                <w:szCs w:val="22"/>
              </w:rPr>
              <w:t xml:space="preserve">If the clinician assesses the patient to be jaundiced with no evidence of infection and there is not a clinical need for hospital admission, the patient will follow the day case pathway. If there is clinical evidence of biliary sepsis due to bile duct obstruction, the patient will follow the inpatient pathway </w:t>
            </w:r>
          </w:p>
          <w:p w:rsidR="00AC3E58" w:rsidRPr="00044E83" w:rsidRDefault="00AC3E58" w:rsidP="0024121D">
            <w:pPr>
              <w:pStyle w:val="Sofiabullet"/>
              <w:framePr w:hSpace="0" w:wrap="auto" w:vAnchor="margin" w:hAnchor="text" w:xAlign="left" w:yAlign="inline"/>
              <w:ind w:left="557" w:hanging="540"/>
              <w:rPr>
                <w:rFonts w:cs="Times New Roman"/>
                <w:sz w:val="22"/>
                <w:szCs w:val="22"/>
              </w:rPr>
            </w:pPr>
            <w:r w:rsidRPr="00044E83">
              <w:rPr>
                <w:sz w:val="22"/>
                <w:szCs w:val="22"/>
              </w:rPr>
              <w:t>HPB CNS will act as Key worker for both Day Case and Inpatient pathways</w:t>
            </w:r>
          </w:p>
          <w:p w:rsidR="00AC3E58" w:rsidRPr="007701A7" w:rsidRDefault="00AC3E58" w:rsidP="0024121D">
            <w:pPr>
              <w:pStyle w:val="Sofiabullet"/>
              <w:framePr w:wrap="auto"/>
              <w:numPr>
                <w:ilvl w:val="0"/>
                <w:numId w:val="0"/>
              </w:numPr>
              <w:rPr>
                <w:rFonts w:cs="Times New Roman"/>
                <w:i/>
                <w:iCs/>
                <w:sz w:val="22"/>
                <w:szCs w:val="22"/>
              </w:rPr>
            </w:pPr>
          </w:p>
        </w:tc>
      </w:tr>
      <w:tr w:rsidR="00AC3E58" w:rsidRPr="00C07A80">
        <w:tc>
          <w:tcPr>
            <w:tcW w:w="2497" w:type="dxa"/>
            <w:tcBorders>
              <w:bottom w:val="single" w:sz="4" w:space="0" w:color="948A54"/>
            </w:tcBorders>
            <w:vAlign w:val="center"/>
          </w:tcPr>
          <w:p w:rsidR="00AC3E58" w:rsidRPr="00C07A80" w:rsidRDefault="00826D4D" w:rsidP="00DB5EE1">
            <w:pPr>
              <w:widowControl w:val="0"/>
              <w:tabs>
                <w:tab w:val="left" w:pos="1080"/>
              </w:tabs>
              <w:jc w:val="center"/>
              <w:rPr>
                <w:rFonts w:ascii="Arial" w:hAnsi="Arial" w:cs="Arial"/>
                <w:b/>
                <w:bCs/>
                <w:caps/>
                <w:color w:val="333399"/>
                <w:lang w:eastAsia="en-GB"/>
              </w:rPr>
            </w:pPr>
            <w:r>
              <w:rPr>
                <w:rFonts w:ascii="Arial" w:hAnsi="Arial" w:cs="Arial"/>
                <w:b/>
                <w:bCs/>
                <w:caps/>
                <w:noProof/>
                <w:color w:val="333399"/>
                <w:lang w:eastAsia="en-GB"/>
              </w:rPr>
              <w:drawing>
                <wp:inline distT="0" distB="0" distL="0" distR="0">
                  <wp:extent cx="333375" cy="209550"/>
                  <wp:effectExtent l="0" t="0" r="9525" b="0"/>
                  <wp:docPr id="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tc>
        <w:tc>
          <w:tcPr>
            <w:tcW w:w="546" w:type="dxa"/>
            <w:tcBorders>
              <w:bottom w:val="single" w:sz="4" w:space="0" w:color="948A54"/>
            </w:tcBorders>
            <w:vAlign w:val="center"/>
          </w:tcPr>
          <w:p w:rsidR="00AC3E58" w:rsidRPr="00C07A80" w:rsidRDefault="00AC3E58" w:rsidP="00DB5EE1">
            <w:pPr>
              <w:jc w:val="center"/>
              <w:rPr>
                <w:rFonts w:ascii="Arial" w:hAnsi="Arial" w:cs="Arial"/>
                <w:lang w:eastAsia="en-GB"/>
              </w:rPr>
            </w:pPr>
          </w:p>
        </w:tc>
        <w:tc>
          <w:tcPr>
            <w:tcW w:w="6243" w:type="dxa"/>
            <w:gridSpan w:val="2"/>
            <w:tcBorders>
              <w:top w:val="single" w:sz="4" w:space="0" w:color="948A54"/>
              <w:bottom w:val="single" w:sz="4" w:space="0" w:color="948A54"/>
            </w:tcBorders>
          </w:tcPr>
          <w:p w:rsidR="00AC3E58" w:rsidRPr="00C07A80" w:rsidRDefault="00826D4D" w:rsidP="00DB5EE1">
            <w:pPr>
              <w:jc w:val="center"/>
              <w:rPr>
                <w:rFonts w:ascii="Arial" w:hAnsi="Arial" w:cs="Arial"/>
                <w:lang w:eastAsia="en-GB"/>
              </w:rPr>
            </w:pPr>
            <w:r>
              <w:rPr>
                <w:rFonts w:ascii="Arial" w:hAnsi="Arial" w:cs="Arial"/>
                <w:noProof/>
                <w:lang w:eastAsia="en-GB"/>
              </w:rPr>
              <w:drawing>
                <wp:inline distT="0" distB="0" distL="0" distR="0">
                  <wp:extent cx="333375" cy="209550"/>
                  <wp:effectExtent l="0" t="0" r="9525" b="0"/>
                  <wp:docPr id="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tc>
      </w:tr>
      <w:tr w:rsidR="00AC3E58" w:rsidRPr="00C07A80">
        <w:tc>
          <w:tcPr>
            <w:tcW w:w="4643" w:type="dxa"/>
            <w:gridSpan w:val="3"/>
            <w:tcBorders>
              <w:top w:val="single" w:sz="4" w:space="0" w:color="948A54"/>
              <w:left w:val="single" w:sz="4" w:space="0" w:color="948A54"/>
              <w:bottom w:val="single" w:sz="4" w:space="0" w:color="948A54"/>
              <w:right w:val="single" w:sz="4" w:space="0" w:color="948A54"/>
            </w:tcBorders>
            <w:shd w:val="clear" w:color="auto" w:fill="EEECE1"/>
            <w:vAlign w:val="center"/>
          </w:tcPr>
          <w:p w:rsidR="00AC3E58" w:rsidRPr="005877E8" w:rsidRDefault="00AC3E58" w:rsidP="00DB5EE1">
            <w:pPr>
              <w:spacing w:before="60" w:after="60"/>
              <w:ind w:left="119"/>
              <w:jc w:val="center"/>
              <w:rPr>
                <w:rFonts w:ascii="Arial" w:hAnsi="Arial" w:cs="Arial"/>
                <w:b/>
                <w:bCs/>
                <w:color w:val="003366"/>
                <w:lang w:eastAsia="en-GB"/>
              </w:rPr>
            </w:pPr>
            <w:r w:rsidRPr="005877E8">
              <w:rPr>
                <w:rFonts w:ascii="Arial" w:hAnsi="Arial" w:cs="Arial"/>
                <w:b/>
                <w:bCs/>
                <w:color w:val="003366"/>
                <w:sz w:val="22"/>
                <w:szCs w:val="22"/>
                <w:lang w:eastAsia="en-GB"/>
              </w:rPr>
              <w:t>DAY CASE PATHWAY</w:t>
            </w:r>
          </w:p>
        </w:tc>
        <w:tc>
          <w:tcPr>
            <w:tcW w:w="4643" w:type="dxa"/>
            <w:tcBorders>
              <w:top w:val="single" w:sz="4" w:space="0" w:color="948A54"/>
              <w:left w:val="single" w:sz="4" w:space="0" w:color="948A54"/>
              <w:bottom w:val="single" w:sz="4" w:space="0" w:color="948A54"/>
              <w:right w:val="single" w:sz="4" w:space="0" w:color="948A54"/>
            </w:tcBorders>
            <w:shd w:val="clear" w:color="auto" w:fill="EEECE1"/>
            <w:vAlign w:val="center"/>
          </w:tcPr>
          <w:p w:rsidR="00AC3E58" w:rsidRPr="005877E8" w:rsidRDefault="00AC3E58" w:rsidP="00DB5EE1">
            <w:pPr>
              <w:spacing w:before="60" w:after="60"/>
              <w:ind w:left="119"/>
              <w:jc w:val="center"/>
              <w:rPr>
                <w:rFonts w:ascii="Arial" w:hAnsi="Arial" w:cs="Arial"/>
                <w:b/>
                <w:bCs/>
                <w:color w:val="003366"/>
                <w:lang w:eastAsia="en-GB"/>
              </w:rPr>
            </w:pPr>
            <w:r w:rsidRPr="005877E8">
              <w:rPr>
                <w:rFonts w:ascii="Arial" w:hAnsi="Arial" w:cs="Arial"/>
                <w:b/>
                <w:bCs/>
                <w:color w:val="003366"/>
                <w:sz w:val="22"/>
                <w:szCs w:val="22"/>
                <w:lang w:eastAsia="en-GB"/>
              </w:rPr>
              <w:t>INPATIENT PATHWAY</w:t>
            </w:r>
          </w:p>
        </w:tc>
      </w:tr>
      <w:tr w:rsidR="00AC3E58" w:rsidRPr="00C07A80">
        <w:tc>
          <w:tcPr>
            <w:tcW w:w="4643" w:type="dxa"/>
            <w:gridSpan w:val="3"/>
            <w:tcBorders>
              <w:top w:val="single" w:sz="4" w:space="0" w:color="948A54"/>
              <w:left w:val="single" w:sz="4" w:space="0" w:color="948A54"/>
              <w:bottom w:val="single" w:sz="4" w:space="0" w:color="948A54"/>
              <w:right w:val="single" w:sz="4" w:space="0" w:color="948A54"/>
            </w:tcBorders>
            <w:vAlign w:val="center"/>
          </w:tcPr>
          <w:p w:rsidR="00AC3E58" w:rsidRDefault="00AC3E58" w:rsidP="00627ADA">
            <w:pPr>
              <w:numPr>
                <w:ilvl w:val="0"/>
                <w:numId w:val="10"/>
              </w:numPr>
              <w:spacing w:before="60" w:after="60"/>
              <w:rPr>
                <w:rFonts w:ascii="Arial" w:hAnsi="Arial" w:cs="Arial"/>
                <w:lang w:eastAsia="en-GB"/>
              </w:rPr>
            </w:pPr>
            <w:r w:rsidRPr="00AE0E05">
              <w:rPr>
                <w:rFonts w:ascii="Arial" w:hAnsi="Arial" w:cs="Arial"/>
                <w:sz w:val="22"/>
                <w:szCs w:val="22"/>
                <w:lang w:eastAsia="en-GB"/>
              </w:rPr>
              <w:t xml:space="preserve">Clinician </w:t>
            </w:r>
            <w:r>
              <w:rPr>
                <w:rFonts w:ascii="Arial" w:hAnsi="Arial" w:cs="Arial"/>
                <w:sz w:val="22"/>
                <w:szCs w:val="22"/>
                <w:lang w:eastAsia="en-GB"/>
              </w:rPr>
              <w:t xml:space="preserve">will provide the patient with the relevant </w:t>
            </w:r>
            <w:r w:rsidRPr="003D52F9">
              <w:rPr>
                <w:rFonts w:ascii="Arial" w:hAnsi="Arial" w:cs="Arial"/>
                <w:color w:val="3366FF"/>
                <w:sz w:val="22"/>
                <w:szCs w:val="22"/>
                <w:u w:val="single"/>
                <w:lang w:eastAsia="en-GB"/>
              </w:rPr>
              <w:t>procedure information leaflets</w:t>
            </w:r>
            <w:r>
              <w:rPr>
                <w:rFonts w:ascii="Arial" w:hAnsi="Arial" w:cs="Arial"/>
                <w:sz w:val="22"/>
                <w:szCs w:val="22"/>
                <w:lang w:eastAsia="en-GB"/>
              </w:rPr>
              <w:t xml:space="preserve"> </w:t>
            </w:r>
          </w:p>
          <w:p w:rsidR="00AC3E58" w:rsidRDefault="00AC3E58" w:rsidP="00DB5EE1">
            <w:pPr>
              <w:numPr>
                <w:ilvl w:val="0"/>
                <w:numId w:val="10"/>
              </w:numPr>
              <w:spacing w:before="60" w:after="60"/>
              <w:rPr>
                <w:rFonts w:ascii="Arial" w:hAnsi="Arial" w:cs="Arial"/>
                <w:lang w:eastAsia="en-GB"/>
              </w:rPr>
            </w:pPr>
            <w:r>
              <w:rPr>
                <w:rFonts w:ascii="Arial" w:hAnsi="Arial" w:cs="Arial"/>
                <w:sz w:val="22"/>
                <w:szCs w:val="22"/>
                <w:lang w:eastAsia="en-GB"/>
              </w:rPr>
              <w:t>Patient will be given a follow up appointment for the Cancer GI clinic up to a week post procedure</w:t>
            </w:r>
          </w:p>
          <w:p w:rsidR="00AC3E58" w:rsidRPr="00AE0E05" w:rsidRDefault="00AC3E58" w:rsidP="00DB5EE1">
            <w:pPr>
              <w:numPr>
                <w:ilvl w:val="0"/>
                <w:numId w:val="10"/>
              </w:numPr>
              <w:spacing w:before="60" w:after="60"/>
              <w:rPr>
                <w:rFonts w:ascii="Arial" w:hAnsi="Arial" w:cs="Arial"/>
                <w:lang w:eastAsia="en-GB"/>
              </w:rPr>
            </w:pPr>
            <w:r>
              <w:rPr>
                <w:rFonts w:ascii="Arial" w:hAnsi="Arial" w:cs="Arial"/>
                <w:sz w:val="22"/>
                <w:szCs w:val="22"/>
                <w:lang w:eastAsia="en-GB"/>
              </w:rPr>
              <w:t xml:space="preserve">Endoscopy admin team or HPB medical team will contact the patient to advise </w:t>
            </w:r>
            <w:r>
              <w:rPr>
                <w:rFonts w:ascii="Arial" w:hAnsi="Arial" w:cs="Arial"/>
                <w:sz w:val="22"/>
                <w:szCs w:val="22"/>
                <w:lang w:eastAsia="en-GB"/>
              </w:rPr>
              <w:lastRenderedPageBreak/>
              <w:t>them of appointment date and of any pre-procedure instructions. (Depending on the clinical case, for most patients this will be within four days)</w:t>
            </w:r>
          </w:p>
          <w:p w:rsidR="00AC3E58" w:rsidRPr="00AE0E05" w:rsidRDefault="00AC3E58" w:rsidP="00DB5EE1">
            <w:pPr>
              <w:spacing w:before="60" w:after="60"/>
              <w:ind w:left="-1097"/>
              <w:rPr>
                <w:rFonts w:ascii="Arial" w:hAnsi="Arial" w:cs="Arial"/>
                <w:color w:val="003366"/>
                <w:lang w:eastAsia="en-GB"/>
              </w:rPr>
            </w:pPr>
          </w:p>
          <w:p w:rsidR="00AC3E58" w:rsidRDefault="00AC3E58" w:rsidP="00DB5EE1">
            <w:pPr>
              <w:spacing w:before="60" w:after="60"/>
              <w:ind w:left="119"/>
              <w:jc w:val="center"/>
              <w:rPr>
                <w:rFonts w:ascii="Arial" w:hAnsi="Arial" w:cs="Arial"/>
                <w:b/>
                <w:bCs/>
                <w:color w:val="003366"/>
                <w:lang w:eastAsia="en-GB"/>
              </w:rPr>
            </w:pPr>
          </w:p>
          <w:p w:rsidR="00AC3E58" w:rsidRDefault="00AC3E58" w:rsidP="00DB5EE1">
            <w:pPr>
              <w:spacing w:before="60" w:after="60"/>
              <w:ind w:left="119"/>
              <w:jc w:val="center"/>
              <w:rPr>
                <w:rFonts w:ascii="Arial" w:hAnsi="Arial" w:cs="Arial"/>
                <w:b/>
                <w:bCs/>
                <w:color w:val="003366"/>
                <w:lang w:eastAsia="en-GB"/>
              </w:rPr>
            </w:pPr>
          </w:p>
          <w:p w:rsidR="00AC3E58" w:rsidRPr="00AE0E05" w:rsidRDefault="00AC3E58" w:rsidP="00DB5EE1">
            <w:pPr>
              <w:spacing w:before="60" w:after="60"/>
              <w:rPr>
                <w:rFonts w:ascii="Arial" w:hAnsi="Arial" w:cs="Arial"/>
                <w:color w:val="003366"/>
                <w:lang w:eastAsia="en-GB"/>
              </w:rPr>
            </w:pPr>
          </w:p>
          <w:p w:rsidR="00AC3E58" w:rsidRDefault="00AC3E58" w:rsidP="00DB5EE1">
            <w:pPr>
              <w:spacing w:before="60" w:after="60"/>
              <w:ind w:left="119"/>
              <w:jc w:val="center"/>
              <w:rPr>
                <w:rFonts w:ascii="Arial" w:hAnsi="Arial" w:cs="Arial"/>
                <w:b/>
                <w:bCs/>
                <w:color w:val="003366"/>
                <w:lang w:eastAsia="en-GB"/>
              </w:rPr>
            </w:pPr>
          </w:p>
          <w:p w:rsidR="00AC3E58" w:rsidRPr="00491134" w:rsidRDefault="00AC3E58" w:rsidP="00DB5EE1">
            <w:pPr>
              <w:spacing w:before="60" w:after="60"/>
              <w:ind w:left="119"/>
              <w:rPr>
                <w:rFonts w:ascii="Arial" w:hAnsi="Arial" w:cs="Arial"/>
                <w:color w:val="003366"/>
                <w:lang w:eastAsia="en-GB"/>
              </w:rPr>
            </w:pPr>
            <w:r>
              <w:rPr>
                <w:rFonts w:ascii="Arial" w:hAnsi="Arial" w:cs="Arial"/>
                <w:b/>
                <w:bCs/>
                <w:caps/>
                <w:noProof/>
                <w:color w:val="003366"/>
                <w:sz w:val="22"/>
                <w:szCs w:val="22"/>
                <w:lang w:eastAsia="en-GB"/>
              </w:rPr>
              <w:t xml:space="preserve">           </w:t>
            </w:r>
          </w:p>
        </w:tc>
        <w:tc>
          <w:tcPr>
            <w:tcW w:w="4643" w:type="dxa"/>
            <w:tcBorders>
              <w:top w:val="single" w:sz="4" w:space="0" w:color="948A54"/>
              <w:left w:val="single" w:sz="4" w:space="0" w:color="948A54"/>
              <w:bottom w:val="single" w:sz="4" w:space="0" w:color="948A54"/>
              <w:right w:val="single" w:sz="4" w:space="0" w:color="948A54"/>
            </w:tcBorders>
            <w:vAlign w:val="center"/>
          </w:tcPr>
          <w:p w:rsidR="00AC3E58" w:rsidRDefault="00AC3E58" w:rsidP="00DB5EE1">
            <w:pPr>
              <w:numPr>
                <w:ilvl w:val="0"/>
                <w:numId w:val="10"/>
              </w:numPr>
              <w:tabs>
                <w:tab w:val="clear" w:pos="360"/>
                <w:tab w:val="left" w:pos="0"/>
                <w:tab w:val="num" w:pos="37"/>
              </w:tabs>
              <w:spacing w:before="60" w:after="60"/>
              <w:rPr>
                <w:rFonts w:ascii="Arial" w:hAnsi="Arial" w:cs="Arial"/>
                <w:lang w:eastAsia="en-GB"/>
              </w:rPr>
            </w:pPr>
            <w:r w:rsidRPr="00DD05F4">
              <w:rPr>
                <w:rFonts w:ascii="Arial" w:hAnsi="Arial" w:cs="Arial"/>
                <w:sz w:val="22"/>
                <w:szCs w:val="22"/>
                <w:lang w:eastAsia="en-GB"/>
              </w:rPr>
              <w:lastRenderedPageBreak/>
              <w:t>The clini</w:t>
            </w:r>
            <w:r>
              <w:rPr>
                <w:rFonts w:ascii="Arial" w:hAnsi="Arial" w:cs="Arial"/>
                <w:sz w:val="22"/>
                <w:szCs w:val="22"/>
                <w:lang w:eastAsia="en-GB"/>
              </w:rPr>
              <w:t>cian will contact the oncology bed manager (bleep 2292) to discuss whether an immediate inpatient admission or a priority bed for the following day is required</w:t>
            </w:r>
          </w:p>
          <w:p w:rsidR="00AC3E58" w:rsidRDefault="00AC3E58" w:rsidP="00DB5EE1">
            <w:pPr>
              <w:numPr>
                <w:ilvl w:val="0"/>
                <w:numId w:val="10"/>
              </w:numPr>
              <w:tabs>
                <w:tab w:val="clear" w:pos="360"/>
                <w:tab w:val="left" w:pos="0"/>
                <w:tab w:val="num" w:pos="37"/>
              </w:tabs>
              <w:spacing w:before="60" w:after="60"/>
              <w:rPr>
                <w:rFonts w:ascii="Arial" w:hAnsi="Arial" w:cs="Arial"/>
                <w:lang w:eastAsia="en-GB"/>
              </w:rPr>
            </w:pPr>
            <w:r>
              <w:rPr>
                <w:rFonts w:ascii="Arial" w:hAnsi="Arial" w:cs="Arial"/>
                <w:sz w:val="22"/>
                <w:szCs w:val="22"/>
                <w:lang w:eastAsia="en-GB"/>
              </w:rPr>
              <w:t xml:space="preserve">If a bed is immediately available, the patient will attend ward as instructed by the oncology bed manager. If the bed is </w:t>
            </w:r>
            <w:r>
              <w:rPr>
                <w:rFonts w:ascii="Arial" w:hAnsi="Arial" w:cs="Arial"/>
                <w:sz w:val="22"/>
                <w:szCs w:val="22"/>
                <w:lang w:eastAsia="en-GB"/>
              </w:rPr>
              <w:lastRenderedPageBreak/>
              <w:t>not immediately available, the patient will be referred to the Supportive Care Unit where they will be monitored until bed is ready</w:t>
            </w:r>
          </w:p>
          <w:p w:rsidR="00AC3E58" w:rsidRDefault="00AC3E58" w:rsidP="00DB5EE1">
            <w:pPr>
              <w:numPr>
                <w:ilvl w:val="0"/>
                <w:numId w:val="10"/>
              </w:numPr>
              <w:tabs>
                <w:tab w:val="clear" w:pos="360"/>
                <w:tab w:val="left" w:pos="0"/>
                <w:tab w:val="num" w:pos="37"/>
              </w:tabs>
              <w:spacing w:before="60" w:after="60"/>
              <w:rPr>
                <w:rFonts w:ascii="Arial" w:hAnsi="Arial" w:cs="Arial"/>
                <w:lang w:eastAsia="en-GB"/>
              </w:rPr>
            </w:pPr>
            <w:r>
              <w:rPr>
                <w:rFonts w:ascii="Arial" w:hAnsi="Arial" w:cs="Arial"/>
                <w:sz w:val="22"/>
                <w:szCs w:val="22"/>
                <w:lang w:eastAsia="en-GB"/>
              </w:rPr>
              <w:t xml:space="preserve">Where an in-patient assessment by HPB medical team is requested, this will happen within 18-24 hours of the request. Requests to be made via HPB FY2 (bleep 2060), SpR (via switch), or fellow (bile phone 07939204237) </w:t>
            </w:r>
          </w:p>
          <w:p w:rsidR="00AC3E58" w:rsidRDefault="00AC3E58" w:rsidP="00DB5EE1">
            <w:pPr>
              <w:numPr>
                <w:ilvl w:val="0"/>
                <w:numId w:val="10"/>
              </w:numPr>
              <w:tabs>
                <w:tab w:val="clear" w:pos="360"/>
                <w:tab w:val="left" w:pos="0"/>
                <w:tab w:val="num" w:pos="37"/>
              </w:tabs>
              <w:spacing w:before="60" w:after="60"/>
              <w:rPr>
                <w:rFonts w:ascii="Arial" w:hAnsi="Arial" w:cs="Arial"/>
                <w:lang w:eastAsia="en-GB"/>
              </w:rPr>
            </w:pPr>
            <w:r>
              <w:rPr>
                <w:rFonts w:ascii="Arial" w:hAnsi="Arial" w:cs="Arial"/>
                <w:sz w:val="22"/>
                <w:szCs w:val="22"/>
                <w:lang w:eastAsia="en-GB"/>
              </w:rPr>
              <w:t>Ward staff will provide the patient with the relevant procedure information leaflets</w:t>
            </w:r>
          </w:p>
          <w:p w:rsidR="00AC3E58" w:rsidRPr="00DD05F4" w:rsidRDefault="00AC3E58" w:rsidP="00DB5EE1">
            <w:pPr>
              <w:numPr>
                <w:ilvl w:val="0"/>
                <w:numId w:val="10"/>
              </w:numPr>
              <w:tabs>
                <w:tab w:val="clear" w:pos="360"/>
                <w:tab w:val="left" w:pos="0"/>
                <w:tab w:val="num" w:pos="37"/>
              </w:tabs>
              <w:spacing w:before="60" w:after="60"/>
              <w:rPr>
                <w:rFonts w:ascii="Arial" w:hAnsi="Arial" w:cs="Arial"/>
                <w:lang w:eastAsia="en-GB"/>
              </w:rPr>
            </w:pPr>
            <w:r>
              <w:rPr>
                <w:rFonts w:ascii="Arial" w:hAnsi="Arial" w:cs="Arial"/>
                <w:sz w:val="22"/>
                <w:szCs w:val="22"/>
                <w:lang w:eastAsia="en-GB"/>
              </w:rPr>
              <w:t>HPB team will contact ward to confirm date and time of procedure</w:t>
            </w:r>
          </w:p>
        </w:tc>
      </w:tr>
      <w:tr w:rsidR="00AC3E58" w:rsidRPr="00C07A80">
        <w:tc>
          <w:tcPr>
            <w:tcW w:w="9286" w:type="dxa"/>
            <w:gridSpan w:val="4"/>
            <w:vAlign w:val="center"/>
          </w:tcPr>
          <w:p w:rsidR="00AC3E58" w:rsidRPr="00DD05F4" w:rsidRDefault="00AC3E58" w:rsidP="00DB5EE1">
            <w:pPr>
              <w:tabs>
                <w:tab w:val="left" w:pos="0"/>
              </w:tabs>
              <w:spacing w:before="60" w:after="60"/>
              <w:rPr>
                <w:rFonts w:ascii="Arial" w:hAnsi="Arial" w:cs="Arial"/>
                <w:lang w:eastAsia="en-GB"/>
              </w:rPr>
            </w:pPr>
            <w:r>
              <w:rPr>
                <w:rFonts w:ascii="Arial" w:hAnsi="Arial" w:cs="Arial"/>
                <w:b/>
                <w:bCs/>
                <w:caps/>
                <w:noProof/>
                <w:color w:val="003366"/>
                <w:sz w:val="22"/>
                <w:szCs w:val="22"/>
                <w:lang w:eastAsia="en-GB"/>
              </w:rPr>
              <w:lastRenderedPageBreak/>
              <w:t xml:space="preserve">           </w:t>
            </w:r>
            <w:r w:rsidR="00826D4D">
              <w:rPr>
                <w:rFonts w:ascii="Arial" w:hAnsi="Arial" w:cs="Arial"/>
                <w:b/>
                <w:bCs/>
                <w:caps/>
                <w:noProof/>
                <w:color w:val="003366"/>
                <w:lang w:eastAsia="en-GB"/>
              </w:rPr>
              <w:drawing>
                <wp:inline distT="0" distB="0" distL="0" distR="0">
                  <wp:extent cx="333375" cy="209550"/>
                  <wp:effectExtent l="0" t="0" r="9525"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r>
              <w:rPr>
                <w:rFonts w:ascii="Arial" w:hAnsi="Arial" w:cs="Arial"/>
                <w:b/>
                <w:bCs/>
                <w:caps/>
                <w:noProof/>
                <w:color w:val="003366"/>
                <w:sz w:val="22"/>
                <w:szCs w:val="22"/>
                <w:lang w:eastAsia="en-GB"/>
              </w:rPr>
              <w:t xml:space="preserve">                                                                               </w:t>
            </w:r>
            <w:r w:rsidR="00826D4D">
              <w:rPr>
                <w:rFonts w:ascii="Arial" w:hAnsi="Arial" w:cs="Arial"/>
                <w:b/>
                <w:bCs/>
                <w:caps/>
                <w:noProof/>
                <w:color w:val="003366"/>
                <w:lang w:eastAsia="en-GB"/>
              </w:rPr>
              <w:drawing>
                <wp:inline distT="0" distB="0" distL="0" distR="0">
                  <wp:extent cx="333375" cy="209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tc>
      </w:tr>
      <w:tr w:rsidR="00AC3E58" w:rsidRPr="00C07A80">
        <w:tc>
          <w:tcPr>
            <w:tcW w:w="2497" w:type="dxa"/>
            <w:shd w:val="clear" w:color="auto" w:fill="EEECE1"/>
            <w:vAlign w:val="center"/>
          </w:tcPr>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r>
              <w:rPr>
                <w:rFonts w:ascii="Arial" w:hAnsi="Arial" w:cs="Arial"/>
                <w:b/>
                <w:bCs/>
                <w:caps/>
                <w:color w:val="003366"/>
                <w:sz w:val="22"/>
                <w:szCs w:val="22"/>
                <w:lang w:eastAsia="en-GB"/>
              </w:rPr>
              <w:t xml:space="preserve">day of </w:t>
            </w:r>
          </w:p>
          <w:p w:rsidR="00AC3E58" w:rsidRDefault="00AC3E58" w:rsidP="00DB5EE1">
            <w:pPr>
              <w:widowControl w:val="0"/>
              <w:jc w:val="center"/>
              <w:rPr>
                <w:rFonts w:ascii="Arial" w:hAnsi="Arial" w:cs="Arial"/>
                <w:b/>
                <w:bCs/>
                <w:caps/>
                <w:color w:val="003366"/>
                <w:lang w:eastAsia="en-GB"/>
              </w:rPr>
            </w:pPr>
            <w:r>
              <w:rPr>
                <w:rFonts w:ascii="Arial" w:hAnsi="Arial" w:cs="Arial"/>
                <w:b/>
                <w:bCs/>
                <w:caps/>
                <w:color w:val="003366"/>
                <w:sz w:val="22"/>
                <w:szCs w:val="22"/>
                <w:lang w:eastAsia="en-GB"/>
              </w:rPr>
              <w:t>procedure</w:t>
            </w: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Default="00AC3E58" w:rsidP="00DB5EE1">
            <w:pPr>
              <w:widowControl w:val="0"/>
              <w:jc w:val="center"/>
              <w:rPr>
                <w:rFonts w:ascii="Arial" w:hAnsi="Arial" w:cs="Arial"/>
                <w:b/>
                <w:bCs/>
                <w:caps/>
                <w:color w:val="003366"/>
                <w:lang w:eastAsia="en-GB"/>
              </w:rPr>
            </w:pPr>
          </w:p>
          <w:p w:rsidR="00AC3E58" w:rsidRPr="00C07A80" w:rsidRDefault="00AC3E58" w:rsidP="00DB5EE1">
            <w:pPr>
              <w:widowControl w:val="0"/>
              <w:jc w:val="center"/>
              <w:rPr>
                <w:rFonts w:ascii="Arial" w:hAnsi="Arial" w:cs="Arial"/>
                <w:b/>
                <w:bCs/>
                <w:caps/>
                <w:color w:val="003366"/>
                <w:lang w:eastAsia="en-GB"/>
              </w:rPr>
            </w:pPr>
          </w:p>
        </w:tc>
        <w:tc>
          <w:tcPr>
            <w:tcW w:w="546" w:type="dxa"/>
            <w:tcBorders>
              <w:right w:val="single" w:sz="4" w:space="0" w:color="948A54"/>
            </w:tcBorders>
            <w:vAlign w:val="center"/>
          </w:tcPr>
          <w:p w:rsidR="00AC3E58" w:rsidRPr="00C07A80" w:rsidRDefault="00826D4D" w:rsidP="00DB5EE1">
            <w:pPr>
              <w:rPr>
                <w:rFonts w:ascii="Arial" w:hAnsi="Arial" w:cs="Arial"/>
                <w:lang w:eastAsia="en-GB"/>
              </w:rPr>
            </w:pPr>
            <w:r>
              <w:rPr>
                <w:rFonts w:ascii="Arial" w:hAnsi="Arial" w:cs="Arial"/>
                <w:noProof/>
                <w:lang w:eastAsia="en-GB"/>
              </w:rPr>
              <w:drawing>
                <wp:inline distT="0" distB="0" distL="0" distR="0">
                  <wp:extent cx="209550" cy="333375"/>
                  <wp:effectExtent l="0" t="0" r="0" b="9525"/>
                  <wp:docPr id="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333375"/>
                          </a:xfrm>
                          <a:prstGeom prst="rect">
                            <a:avLst/>
                          </a:prstGeom>
                          <a:noFill/>
                          <a:ln>
                            <a:noFill/>
                          </a:ln>
                        </pic:spPr>
                      </pic:pic>
                    </a:graphicData>
                  </a:graphic>
                </wp:inline>
              </w:drawing>
            </w:r>
          </w:p>
        </w:tc>
        <w:tc>
          <w:tcPr>
            <w:tcW w:w="6243" w:type="dxa"/>
            <w:gridSpan w:val="2"/>
            <w:tcBorders>
              <w:top w:val="single" w:sz="4" w:space="0" w:color="948A54"/>
              <w:left w:val="single" w:sz="4" w:space="0" w:color="948A54"/>
              <w:bottom w:val="single" w:sz="4" w:space="0" w:color="948A54"/>
              <w:right w:val="single" w:sz="4" w:space="0" w:color="948A54"/>
            </w:tcBorders>
          </w:tcPr>
          <w:p w:rsidR="00AC3E58" w:rsidRPr="00491134"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Patient will report to the Endoscopy Unit reception at appointment time</w:t>
            </w:r>
          </w:p>
          <w:p w:rsidR="00AC3E58" w:rsidRPr="00491134"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Patient will be consented for the procedure</w:t>
            </w:r>
          </w:p>
          <w:p w:rsidR="00AC3E58" w:rsidRPr="00491134"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Patient’s baseline vital signs will be recorded</w:t>
            </w:r>
          </w:p>
          <w:p w:rsidR="00AC3E58" w:rsidRPr="00491134"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ERCP procedure will be performed</w:t>
            </w:r>
          </w:p>
          <w:p w:rsidR="00AC3E58" w:rsidRPr="00491134"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Patient will be transferred to Endoscopy recovery for further  assessment and monitoring</w:t>
            </w:r>
          </w:p>
          <w:p w:rsidR="00AC3E58" w:rsidRPr="00A95C50" w:rsidRDefault="00AC3E58" w:rsidP="00A95C50">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While in recovery, the patient will be assessed according to the Post Sedation / Anaesthesia Discharge Scoring System (PADDS). If an inpatient, the patient will be transferred back to their ward when assessed as clinically stable. If a day case, a PADDS score of nine or above must be achieved before they are discharged home</w:t>
            </w:r>
          </w:p>
          <w:p w:rsidR="00AC3E58" w:rsidRPr="00A95C50" w:rsidRDefault="00AC3E58" w:rsidP="003D52F9">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 xml:space="preserve">Endoscopy doctor will complete procedure report; a copy will be filed in the patient’s medical notes and will also be available on CDR system </w:t>
            </w:r>
          </w:p>
          <w:p w:rsidR="00AC3E58" w:rsidRDefault="00AC3E58" w:rsidP="00A95C50">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If appropriate, a procedure after care leaflet will be given to the patient</w:t>
            </w:r>
          </w:p>
        </w:tc>
      </w:tr>
      <w:tr w:rsidR="00AC3E58" w:rsidRPr="00C07A80">
        <w:tc>
          <w:tcPr>
            <w:tcW w:w="2497" w:type="dxa"/>
            <w:vAlign w:val="center"/>
          </w:tcPr>
          <w:p w:rsidR="00AC3E58" w:rsidRPr="00C07A80" w:rsidRDefault="00826D4D" w:rsidP="00DB5EE1">
            <w:pPr>
              <w:widowControl w:val="0"/>
              <w:jc w:val="center"/>
              <w:rPr>
                <w:rFonts w:ascii="Arial" w:hAnsi="Arial" w:cs="Arial"/>
                <w:b/>
                <w:bCs/>
                <w:caps/>
                <w:color w:val="003366"/>
                <w:lang w:eastAsia="en-GB"/>
              </w:rPr>
            </w:pPr>
            <w:r>
              <w:rPr>
                <w:rFonts w:ascii="Arial" w:hAnsi="Arial" w:cs="Arial"/>
                <w:b/>
                <w:bCs/>
                <w:caps/>
                <w:noProof/>
                <w:color w:val="003366"/>
                <w:lang w:eastAsia="en-GB"/>
              </w:rPr>
              <w:drawing>
                <wp:inline distT="0" distB="0" distL="0" distR="0">
                  <wp:extent cx="333375" cy="209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tc>
        <w:tc>
          <w:tcPr>
            <w:tcW w:w="546" w:type="dxa"/>
            <w:vAlign w:val="center"/>
          </w:tcPr>
          <w:p w:rsidR="00AC3E58" w:rsidRPr="00C07A80" w:rsidRDefault="00AC3E58" w:rsidP="00DB5EE1">
            <w:pPr>
              <w:jc w:val="center"/>
              <w:rPr>
                <w:rFonts w:ascii="Arial" w:hAnsi="Arial" w:cs="Arial"/>
                <w:lang w:eastAsia="en-GB"/>
              </w:rPr>
            </w:pPr>
          </w:p>
        </w:tc>
        <w:tc>
          <w:tcPr>
            <w:tcW w:w="6243" w:type="dxa"/>
            <w:gridSpan w:val="2"/>
            <w:tcBorders>
              <w:top w:val="single" w:sz="4" w:space="0" w:color="948A54"/>
              <w:bottom w:val="single" w:sz="4" w:space="0" w:color="948A54"/>
            </w:tcBorders>
          </w:tcPr>
          <w:p w:rsidR="00AC3E58" w:rsidRPr="00C07A80" w:rsidRDefault="00826D4D" w:rsidP="00DB5EE1">
            <w:pPr>
              <w:jc w:val="center"/>
              <w:rPr>
                <w:rFonts w:ascii="Arial" w:hAnsi="Arial" w:cs="Arial"/>
                <w:lang w:eastAsia="en-GB"/>
              </w:rPr>
            </w:pPr>
            <w:r>
              <w:rPr>
                <w:rFonts w:ascii="Arial" w:hAnsi="Arial" w:cs="Arial"/>
                <w:noProof/>
                <w:lang w:eastAsia="en-GB"/>
              </w:rPr>
              <w:drawing>
                <wp:inline distT="0" distB="0" distL="0" distR="0">
                  <wp:extent cx="333375" cy="209550"/>
                  <wp:effectExtent l="0" t="0" r="9525" b="0"/>
                  <wp:docPr id="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tc>
      </w:tr>
      <w:tr w:rsidR="00AC3E58" w:rsidRPr="00C07A80">
        <w:tc>
          <w:tcPr>
            <w:tcW w:w="2497" w:type="dxa"/>
            <w:shd w:val="clear" w:color="auto" w:fill="EEECE1"/>
            <w:vAlign w:val="center"/>
          </w:tcPr>
          <w:p w:rsidR="00AC3E58" w:rsidRPr="00C07A80" w:rsidRDefault="00AC3E58" w:rsidP="00DB5EE1">
            <w:pPr>
              <w:widowControl w:val="0"/>
              <w:jc w:val="center"/>
              <w:rPr>
                <w:rFonts w:ascii="Arial" w:hAnsi="Arial" w:cs="Arial"/>
                <w:b/>
                <w:bCs/>
                <w:caps/>
                <w:color w:val="003366"/>
                <w:lang w:eastAsia="en-GB"/>
              </w:rPr>
            </w:pPr>
            <w:r>
              <w:rPr>
                <w:rFonts w:ascii="Arial" w:hAnsi="Arial" w:cs="Arial"/>
                <w:b/>
                <w:bCs/>
                <w:caps/>
                <w:color w:val="003366"/>
                <w:sz w:val="22"/>
                <w:szCs w:val="22"/>
                <w:lang w:eastAsia="en-GB"/>
              </w:rPr>
              <w:t>discharge &amp; follow up care</w:t>
            </w:r>
          </w:p>
        </w:tc>
        <w:tc>
          <w:tcPr>
            <w:tcW w:w="546" w:type="dxa"/>
            <w:tcBorders>
              <w:right w:val="single" w:sz="4" w:space="0" w:color="948A54"/>
            </w:tcBorders>
            <w:vAlign w:val="center"/>
          </w:tcPr>
          <w:p w:rsidR="00AC3E58" w:rsidRPr="00C07A80" w:rsidRDefault="00826D4D" w:rsidP="00DB5EE1">
            <w:pPr>
              <w:rPr>
                <w:rFonts w:ascii="Arial" w:hAnsi="Arial" w:cs="Arial"/>
                <w:lang w:eastAsia="en-GB"/>
              </w:rPr>
            </w:pPr>
            <w:r>
              <w:rPr>
                <w:rFonts w:ascii="Arial" w:hAnsi="Arial" w:cs="Arial"/>
                <w:noProof/>
                <w:lang w:eastAsia="en-GB"/>
              </w:rPr>
              <w:drawing>
                <wp:inline distT="0" distB="0" distL="0" distR="0">
                  <wp:extent cx="209550" cy="333375"/>
                  <wp:effectExtent l="0" t="0" r="0" b="9525"/>
                  <wp:docPr id="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 cy="333375"/>
                          </a:xfrm>
                          <a:prstGeom prst="rect">
                            <a:avLst/>
                          </a:prstGeom>
                          <a:noFill/>
                          <a:ln>
                            <a:noFill/>
                          </a:ln>
                        </pic:spPr>
                      </pic:pic>
                    </a:graphicData>
                  </a:graphic>
                </wp:inline>
              </w:drawing>
            </w:r>
          </w:p>
        </w:tc>
        <w:tc>
          <w:tcPr>
            <w:tcW w:w="6243" w:type="dxa"/>
            <w:gridSpan w:val="2"/>
            <w:tcBorders>
              <w:top w:val="single" w:sz="4" w:space="0" w:color="948A54"/>
              <w:left w:val="single" w:sz="4" w:space="0" w:color="948A54"/>
              <w:bottom w:val="single" w:sz="4" w:space="0" w:color="948A54"/>
              <w:right w:val="single" w:sz="4" w:space="0" w:color="948A54"/>
            </w:tcBorders>
          </w:tcPr>
          <w:p w:rsidR="00AC3E58" w:rsidRPr="00C42D8E"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Hospital contact numbers will be given to the patient</w:t>
            </w:r>
          </w:p>
          <w:p w:rsidR="00AC3E58" w:rsidRPr="00F73221" w:rsidRDefault="00AC3E58" w:rsidP="00DB5EE1">
            <w:pPr>
              <w:numPr>
                <w:ilvl w:val="0"/>
                <w:numId w:val="1"/>
              </w:numPr>
              <w:spacing w:before="60" w:after="60"/>
              <w:ind w:left="476" w:hanging="357"/>
              <w:rPr>
                <w:rFonts w:ascii="Arial" w:hAnsi="Arial" w:cs="Arial"/>
                <w:i/>
                <w:iCs/>
                <w:lang w:eastAsia="en-GB"/>
              </w:rPr>
            </w:pPr>
            <w:r>
              <w:rPr>
                <w:rFonts w:ascii="Arial" w:hAnsi="Arial" w:cs="Arial"/>
                <w:sz w:val="22"/>
                <w:szCs w:val="22"/>
                <w:lang w:eastAsia="en-GB"/>
              </w:rPr>
              <w:t>Prior to discharge, the Endoscopy team will confirm that day case patients have a post procedure follow up clinic appointment with their oncology team</w:t>
            </w:r>
          </w:p>
        </w:tc>
      </w:tr>
      <w:bookmarkEnd w:id="1"/>
    </w:tbl>
    <w:p w:rsidR="00AC3E58" w:rsidRDefault="00AC3E58"/>
    <w:p w:rsidR="00AC3E58" w:rsidRDefault="00AC3E58"/>
    <w:p w:rsidR="00AC3E58" w:rsidRDefault="00AC3E58"/>
    <w:p w:rsidR="00AC3E58" w:rsidRDefault="00AC3E58"/>
    <w:p w:rsidR="00AC3E58" w:rsidRDefault="00AC3E58"/>
    <w:p w:rsidR="00AC3E58" w:rsidRDefault="00AC3E58"/>
    <w:p w:rsidR="00AC3E58" w:rsidRDefault="00AC3E58"/>
    <w:p w:rsidR="00AC3E58" w:rsidRDefault="00AC3E58"/>
    <w:sectPr w:rsidR="00AC3E58" w:rsidSect="00A95C50">
      <w:headerReference w:type="default" r:id="rId11"/>
      <w:pgSz w:w="11906" w:h="16838"/>
      <w:pgMar w:top="814" w:right="1134" w:bottom="899" w:left="1134" w:header="36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B74" w:rsidRDefault="00926B74">
      <w:r>
        <w:separator/>
      </w:r>
    </w:p>
  </w:endnote>
  <w:endnote w:type="continuationSeparator" w:id="0">
    <w:p w:rsidR="00926B74" w:rsidRDefault="0092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B74" w:rsidRDefault="00926B74">
      <w:r>
        <w:separator/>
      </w:r>
    </w:p>
  </w:footnote>
  <w:footnote w:type="continuationSeparator" w:id="0">
    <w:p w:rsidR="00926B74" w:rsidRDefault="00926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E58" w:rsidRDefault="00826D4D" w:rsidP="00527865">
    <w:pPr>
      <w:pStyle w:val="Header"/>
      <w:jc w:val="right"/>
    </w:pPr>
    <w:r>
      <w:rPr>
        <w:rFonts w:ascii="Cambria" w:hAnsi="Cambria" w:cs="Cambria"/>
        <w:caps/>
        <w:noProof/>
        <w:lang w:eastAsia="en-GB"/>
      </w:rPr>
      <w:drawing>
        <wp:inline distT="0" distB="0" distL="0" distR="0">
          <wp:extent cx="3143250" cy="371475"/>
          <wp:effectExtent l="0" t="0" r="0" b="9525"/>
          <wp:docPr id="10" name="Picture 0" descr="uclh-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uclh-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76672"/>
    <w:multiLevelType w:val="hybridMultilevel"/>
    <w:tmpl w:val="E17863A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
    <w:nsid w:val="0B9C1799"/>
    <w:multiLevelType w:val="multilevel"/>
    <w:tmpl w:val="01C8AE18"/>
    <w:lvl w:ilvl="0">
      <w:start w:val="1"/>
      <w:numFmt w:val="bullet"/>
      <w:lvlText w:val=""/>
      <w:lvlJc w:val="left"/>
      <w:pPr>
        <w:tabs>
          <w:tab w:val="num" w:pos="360"/>
        </w:tabs>
        <w:ind w:left="360" w:hanging="360"/>
      </w:pPr>
      <w:rPr>
        <w:rFonts w:ascii="Wingdings" w:hAnsi="Wingdings" w:cs="Wingdings" w:hint="default"/>
        <w:color w:val="auto"/>
        <w:sz w:val="16"/>
        <w:szCs w:val="16"/>
      </w:rPr>
    </w:lvl>
    <w:lvl w:ilvl="1">
      <w:numFmt w:val="bullet"/>
      <w:lvlText w:val="-"/>
      <w:lvlJc w:val="left"/>
      <w:pPr>
        <w:tabs>
          <w:tab w:val="num" w:pos="1457"/>
        </w:tabs>
        <w:ind w:left="1457" w:hanging="360"/>
      </w:pPr>
      <w:rPr>
        <w:rFonts w:ascii="Arial" w:eastAsia="Times New Roman" w:hAnsi="Arial" w:hint="default"/>
      </w:rPr>
    </w:lvl>
    <w:lvl w:ilvl="2">
      <w:start w:val="1"/>
      <w:numFmt w:val="bullet"/>
      <w:lvlText w:val=""/>
      <w:lvlJc w:val="left"/>
      <w:pPr>
        <w:tabs>
          <w:tab w:val="num" w:pos="2177"/>
        </w:tabs>
        <w:ind w:left="2177" w:hanging="360"/>
      </w:pPr>
      <w:rPr>
        <w:rFonts w:ascii="Wingdings" w:hAnsi="Wingdings" w:cs="Wingdings" w:hint="default"/>
      </w:rPr>
    </w:lvl>
    <w:lvl w:ilvl="3">
      <w:start w:val="1"/>
      <w:numFmt w:val="bullet"/>
      <w:lvlText w:val=""/>
      <w:lvlJc w:val="left"/>
      <w:pPr>
        <w:tabs>
          <w:tab w:val="num" w:pos="2897"/>
        </w:tabs>
        <w:ind w:left="2897" w:hanging="360"/>
      </w:pPr>
      <w:rPr>
        <w:rFonts w:ascii="Symbol" w:hAnsi="Symbol" w:cs="Symbol" w:hint="default"/>
      </w:rPr>
    </w:lvl>
    <w:lvl w:ilvl="4">
      <w:start w:val="1"/>
      <w:numFmt w:val="bullet"/>
      <w:lvlText w:val="o"/>
      <w:lvlJc w:val="left"/>
      <w:pPr>
        <w:tabs>
          <w:tab w:val="num" w:pos="3617"/>
        </w:tabs>
        <w:ind w:left="3617" w:hanging="360"/>
      </w:pPr>
      <w:rPr>
        <w:rFonts w:ascii="Courier New" w:hAnsi="Courier New" w:cs="Courier New" w:hint="default"/>
      </w:rPr>
    </w:lvl>
    <w:lvl w:ilvl="5">
      <w:start w:val="1"/>
      <w:numFmt w:val="bullet"/>
      <w:lvlText w:val=""/>
      <w:lvlJc w:val="left"/>
      <w:pPr>
        <w:tabs>
          <w:tab w:val="num" w:pos="4337"/>
        </w:tabs>
        <w:ind w:left="4337" w:hanging="360"/>
      </w:pPr>
      <w:rPr>
        <w:rFonts w:ascii="Wingdings" w:hAnsi="Wingdings" w:cs="Wingdings" w:hint="default"/>
      </w:rPr>
    </w:lvl>
    <w:lvl w:ilvl="6">
      <w:start w:val="1"/>
      <w:numFmt w:val="bullet"/>
      <w:lvlText w:val=""/>
      <w:lvlJc w:val="left"/>
      <w:pPr>
        <w:tabs>
          <w:tab w:val="num" w:pos="5057"/>
        </w:tabs>
        <w:ind w:left="5057" w:hanging="360"/>
      </w:pPr>
      <w:rPr>
        <w:rFonts w:ascii="Symbol" w:hAnsi="Symbol" w:cs="Symbol" w:hint="default"/>
      </w:rPr>
    </w:lvl>
    <w:lvl w:ilvl="7">
      <w:start w:val="1"/>
      <w:numFmt w:val="bullet"/>
      <w:lvlText w:val="o"/>
      <w:lvlJc w:val="left"/>
      <w:pPr>
        <w:tabs>
          <w:tab w:val="num" w:pos="5777"/>
        </w:tabs>
        <w:ind w:left="5777" w:hanging="360"/>
      </w:pPr>
      <w:rPr>
        <w:rFonts w:ascii="Courier New" w:hAnsi="Courier New" w:cs="Courier New" w:hint="default"/>
      </w:rPr>
    </w:lvl>
    <w:lvl w:ilvl="8">
      <w:start w:val="1"/>
      <w:numFmt w:val="bullet"/>
      <w:lvlText w:val=""/>
      <w:lvlJc w:val="left"/>
      <w:pPr>
        <w:tabs>
          <w:tab w:val="num" w:pos="6497"/>
        </w:tabs>
        <w:ind w:left="6497" w:hanging="360"/>
      </w:pPr>
      <w:rPr>
        <w:rFonts w:ascii="Wingdings" w:hAnsi="Wingdings" w:cs="Wingdings" w:hint="default"/>
      </w:rPr>
    </w:lvl>
  </w:abstractNum>
  <w:abstractNum w:abstractNumId="2">
    <w:nsid w:val="12ED3A07"/>
    <w:multiLevelType w:val="multilevel"/>
    <w:tmpl w:val="BDE203B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nsid w:val="1892558B"/>
    <w:multiLevelType w:val="hybridMultilevel"/>
    <w:tmpl w:val="71C29EAA"/>
    <w:lvl w:ilvl="0" w:tplc="CC6826F2">
      <w:start w:val="1"/>
      <w:numFmt w:val="bullet"/>
      <w:pStyle w:val="Sofiabullet"/>
      <w:lvlText w:val=""/>
      <w:lvlJc w:val="left"/>
      <w:pPr>
        <w:ind w:left="720" w:hanging="360"/>
      </w:pPr>
      <w:rPr>
        <w:rFonts w:ascii="Wingdings" w:hAnsi="Wingdings" w:cs="Wingdings" w:hint="default"/>
        <w:color w:val="auto"/>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nsid w:val="261D57EF"/>
    <w:multiLevelType w:val="multilevel"/>
    <w:tmpl w:val="01C8AE18"/>
    <w:lvl w:ilvl="0">
      <w:start w:val="1"/>
      <w:numFmt w:val="bullet"/>
      <w:lvlText w:val=""/>
      <w:lvlJc w:val="left"/>
      <w:pPr>
        <w:tabs>
          <w:tab w:val="num" w:pos="360"/>
        </w:tabs>
        <w:ind w:left="360" w:hanging="360"/>
      </w:pPr>
      <w:rPr>
        <w:rFonts w:ascii="Wingdings" w:hAnsi="Wingdings" w:cs="Wingdings" w:hint="default"/>
        <w:color w:val="auto"/>
        <w:sz w:val="16"/>
        <w:szCs w:val="16"/>
      </w:rPr>
    </w:lvl>
    <w:lvl w:ilvl="1">
      <w:numFmt w:val="bullet"/>
      <w:lvlText w:val="-"/>
      <w:lvlJc w:val="left"/>
      <w:pPr>
        <w:tabs>
          <w:tab w:val="num" w:pos="1457"/>
        </w:tabs>
        <w:ind w:left="1457" w:hanging="360"/>
      </w:pPr>
      <w:rPr>
        <w:rFonts w:ascii="Arial" w:eastAsia="Times New Roman" w:hAnsi="Arial" w:hint="default"/>
      </w:rPr>
    </w:lvl>
    <w:lvl w:ilvl="2">
      <w:start w:val="1"/>
      <w:numFmt w:val="bullet"/>
      <w:lvlText w:val=""/>
      <w:lvlJc w:val="left"/>
      <w:pPr>
        <w:tabs>
          <w:tab w:val="num" w:pos="2177"/>
        </w:tabs>
        <w:ind w:left="2177" w:hanging="360"/>
      </w:pPr>
      <w:rPr>
        <w:rFonts w:ascii="Wingdings" w:hAnsi="Wingdings" w:cs="Wingdings" w:hint="default"/>
      </w:rPr>
    </w:lvl>
    <w:lvl w:ilvl="3">
      <w:start w:val="1"/>
      <w:numFmt w:val="bullet"/>
      <w:lvlText w:val=""/>
      <w:lvlJc w:val="left"/>
      <w:pPr>
        <w:tabs>
          <w:tab w:val="num" w:pos="2897"/>
        </w:tabs>
        <w:ind w:left="2897" w:hanging="360"/>
      </w:pPr>
      <w:rPr>
        <w:rFonts w:ascii="Symbol" w:hAnsi="Symbol" w:cs="Symbol" w:hint="default"/>
      </w:rPr>
    </w:lvl>
    <w:lvl w:ilvl="4">
      <w:start w:val="1"/>
      <w:numFmt w:val="bullet"/>
      <w:lvlText w:val="o"/>
      <w:lvlJc w:val="left"/>
      <w:pPr>
        <w:tabs>
          <w:tab w:val="num" w:pos="3617"/>
        </w:tabs>
        <w:ind w:left="3617" w:hanging="360"/>
      </w:pPr>
      <w:rPr>
        <w:rFonts w:ascii="Courier New" w:hAnsi="Courier New" w:cs="Courier New" w:hint="default"/>
      </w:rPr>
    </w:lvl>
    <w:lvl w:ilvl="5">
      <w:start w:val="1"/>
      <w:numFmt w:val="bullet"/>
      <w:lvlText w:val=""/>
      <w:lvlJc w:val="left"/>
      <w:pPr>
        <w:tabs>
          <w:tab w:val="num" w:pos="4337"/>
        </w:tabs>
        <w:ind w:left="4337" w:hanging="360"/>
      </w:pPr>
      <w:rPr>
        <w:rFonts w:ascii="Wingdings" w:hAnsi="Wingdings" w:cs="Wingdings" w:hint="default"/>
      </w:rPr>
    </w:lvl>
    <w:lvl w:ilvl="6">
      <w:start w:val="1"/>
      <w:numFmt w:val="bullet"/>
      <w:lvlText w:val=""/>
      <w:lvlJc w:val="left"/>
      <w:pPr>
        <w:tabs>
          <w:tab w:val="num" w:pos="5057"/>
        </w:tabs>
        <w:ind w:left="5057" w:hanging="360"/>
      </w:pPr>
      <w:rPr>
        <w:rFonts w:ascii="Symbol" w:hAnsi="Symbol" w:cs="Symbol" w:hint="default"/>
      </w:rPr>
    </w:lvl>
    <w:lvl w:ilvl="7">
      <w:start w:val="1"/>
      <w:numFmt w:val="bullet"/>
      <w:lvlText w:val="o"/>
      <w:lvlJc w:val="left"/>
      <w:pPr>
        <w:tabs>
          <w:tab w:val="num" w:pos="5777"/>
        </w:tabs>
        <w:ind w:left="5777" w:hanging="360"/>
      </w:pPr>
      <w:rPr>
        <w:rFonts w:ascii="Courier New" w:hAnsi="Courier New" w:cs="Courier New" w:hint="default"/>
      </w:rPr>
    </w:lvl>
    <w:lvl w:ilvl="8">
      <w:start w:val="1"/>
      <w:numFmt w:val="bullet"/>
      <w:lvlText w:val=""/>
      <w:lvlJc w:val="left"/>
      <w:pPr>
        <w:tabs>
          <w:tab w:val="num" w:pos="6497"/>
        </w:tabs>
        <w:ind w:left="6497" w:hanging="360"/>
      </w:pPr>
      <w:rPr>
        <w:rFonts w:ascii="Wingdings" w:hAnsi="Wingdings" w:cs="Wingdings" w:hint="default"/>
      </w:rPr>
    </w:lvl>
  </w:abstractNum>
  <w:abstractNum w:abstractNumId="5">
    <w:nsid w:val="34B94A4B"/>
    <w:multiLevelType w:val="hybridMultilevel"/>
    <w:tmpl w:val="BDE203B0"/>
    <w:lvl w:ilvl="0" w:tplc="08090001">
      <w:start w:val="1"/>
      <w:numFmt w:val="bullet"/>
      <w:lvlText w:val=""/>
      <w:lvlJc w:val="left"/>
      <w:pPr>
        <w:tabs>
          <w:tab w:val="num" w:pos="360"/>
        </w:tabs>
        <w:ind w:left="360" w:hanging="360"/>
      </w:pPr>
      <w:rPr>
        <w:rFonts w:ascii="Symbol" w:hAnsi="Symbol" w:cs="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6">
    <w:nsid w:val="47A9555F"/>
    <w:multiLevelType w:val="hybridMultilevel"/>
    <w:tmpl w:val="01C8AE18"/>
    <w:lvl w:ilvl="0" w:tplc="C5748BD2">
      <w:start w:val="1"/>
      <w:numFmt w:val="bullet"/>
      <w:lvlText w:val=""/>
      <w:lvlJc w:val="left"/>
      <w:pPr>
        <w:tabs>
          <w:tab w:val="num" w:pos="360"/>
        </w:tabs>
        <w:ind w:left="360" w:hanging="360"/>
      </w:pPr>
      <w:rPr>
        <w:rFonts w:ascii="Wingdings" w:hAnsi="Wingdings" w:cs="Wingdings" w:hint="default"/>
        <w:color w:val="auto"/>
        <w:sz w:val="16"/>
        <w:szCs w:val="16"/>
      </w:rPr>
    </w:lvl>
    <w:lvl w:ilvl="1" w:tplc="21062E90">
      <w:numFmt w:val="bullet"/>
      <w:lvlText w:val="-"/>
      <w:lvlJc w:val="left"/>
      <w:pPr>
        <w:tabs>
          <w:tab w:val="num" w:pos="1457"/>
        </w:tabs>
        <w:ind w:left="1457" w:hanging="360"/>
      </w:pPr>
      <w:rPr>
        <w:rFonts w:ascii="Arial" w:eastAsia="Times New Roman" w:hAnsi="Arial" w:hint="default"/>
      </w:rPr>
    </w:lvl>
    <w:lvl w:ilvl="2" w:tplc="08090005">
      <w:start w:val="1"/>
      <w:numFmt w:val="bullet"/>
      <w:lvlText w:val=""/>
      <w:lvlJc w:val="left"/>
      <w:pPr>
        <w:tabs>
          <w:tab w:val="num" w:pos="2177"/>
        </w:tabs>
        <w:ind w:left="2177" w:hanging="360"/>
      </w:pPr>
      <w:rPr>
        <w:rFonts w:ascii="Wingdings" w:hAnsi="Wingdings" w:cs="Wingdings" w:hint="default"/>
      </w:rPr>
    </w:lvl>
    <w:lvl w:ilvl="3" w:tplc="08090001">
      <w:start w:val="1"/>
      <w:numFmt w:val="bullet"/>
      <w:lvlText w:val=""/>
      <w:lvlJc w:val="left"/>
      <w:pPr>
        <w:tabs>
          <w:tab w:val="num" w:pos="2897"/>
        </w:tabs>
        <w:ind w:left="2897" w:hanging="360"/>
      </w:pPr>
      <w:rPr>
        <w:rFonts w:ascii="Symbol" w:hAnsi="Symbol" w:cs="Symbol" w:hint="default"/>
      </w:rPr>
    </w:lvl>
    <w:lvl w:ilvl="4" w:tplc="08090003">
      <w:start w:val="1"/>
      <w:numFmt w:val="bullet"/>
      <w:lvlText w:val="o"/>
      <w:lvlJc w:val="left"/>
      <w:pPr>
        <w:tabs>
          <w:tab w:val="num" w:pos="3617"/>
        </w:tabs>
        <w:ind w:left="3617" w:hanging="360"/>
      </w:pPr>
      <w:rPr>
        <w:rFonts w:ascii="Courier New" w:hAnsi="Courier New" w:cs="Courier New" w:hint="default"/>
      </w:rPr>
    </w:lvl>
    <w:lvl w:ilvl="5" w:tplc="08090005">
      <w:start w:val="1"/>
      <w:numFmt w:val="bullet"/>
      <w:lvlText w:val=""/>
      <w:lvlJc w:val="left"/>
      <w:pPr>
        <w:tabs>
          <w:tab w:val="num" w:pos="4337"/>
        </w:tabs>
        <w:ind w:left="4337" w:hanging="360"/>
      </w:pPr>
      <w:rPr>
        <w:rFonts w:ascii="Wingdings" w:hAnsi="Wingdings" w:cs="Wingdings" w:hint="default"/>
      </w:rPr>
    </w:lvl>
    <w:lvl w:ilvl="6" w:tplc="08090001">
      <w:start w:val="1"/>
      <w:numFmt w:val="bullet"/>
      <w:lvlText w:val=""/>
      <w:lvlJc w:val="left"/>
      <w:pPr>
        <w:tabs>
          <w:tab w:val="num" w:pos="5057"/>
        </w:tabs>
        <w:ind w:left="5057" w:hanging="360"/>
      </w:pPr>
      <w:rPr>
        <w:rFonts w:ascii="Symbol" w:hAnsi="Symbol" w:cs="Symbol" w:hint="default"/>
      </w:rPr>
    </w:lvl>
    <w:lvl w:ilvl="7" w:tplc="08090003">
      <w:start w:val="1"/>
      <w:numFmt w:val="bullet"/>
      <w:lvlText w:val="o"/>
      <w:lvlJc w:val="left"/>
      <w:pPr>
        <w:tabs>
          <w:tab w:val="num" w:pos="5777"/>
        </w:tabs>
        <w:ind w:left="5777" w:hanging="360"/>
      </w:pPr>
      <w:rPr>
        <w:rFonts w:ascii="Courier New" w:hAnsi="Courier New" w:cs="Courier New" w:hint="default"/>
      </w:rPr>
    </w:lvl>
    <w:lvl w:ilvl="8" w:tplc="08090005">
      <w:start w:val="1"/>
      <w:numFmt w:val="bullet"/>
      <w:lvlText w:val=""/>
      <w:lvlJc w:val="left"/>
      <w:pPr>
        <w:tabs>
          <w:tab w:val="num" w:pos="6497"/>
        </w:tabs>
        <w:ind w:left="6497" w:hanging="360"/>
      </w:pPr>
      <w:rPr>
        <w:rFonts w:ascii="Wingdings" w:hAnsi="Wingdings" w:cs="Wingdings" w:hint="default"/>
      </w:rPr>
    </w:lvl>
  </w:abstractNum>
  <w:abstractNum w:abstractNumId="7">
    <w:nsid w:val="47B24A85"/>
    <w:multiLevelType w:val="hybridMultilevel"/>
    <w:tmpl w:val="065E81B4"/>
    <w:lvl w:ilvl="0" w:tplc="D88E43D4">
      <w:start w:val="1"/>
      <w:numFmt w:val="bullet"/>
      <w:lvlText w:val=""/>
      <w:lvlJc w:val="left"/>
      <w:pPr>
        <w:tabs>
          <w:tab w:val="num" w:pos="720"/>
        </w:tabs>
        <w:ind w:left="720" w:hanging="360"/>
      </w:pPr>
      <w:rPr>
        <w:rFonts w:ascii="Wingdings" w:hAnsi="Wingdings" w:cs="Wingdings" w:hint="default"/>
        <w:b w:val="0"/>
        <w:bCs w:val="0"/>
        <w:i w:val="0"/>
        <w:iCs w:val="0"/>
        <w:color w:val="333399"/>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
    <w:nsid w:val="4E1967F1"/>
    <w:multiLevelType w:val="multilevel"/>
    <w:tmpl w:val="DD7EC942"/>
    <w:lvl w:ilvl="0">
      <w:start w:val="1"/>
      <w:numFmt w:val="bullet"/>
      <w:lvlText w:val=""/>
      <w:lvlJc w:val="left"/>
      <w:pPr>
        <w:tabs>
          <w:tab w:val="num" w:pos="1457"/>
        </w:tabs>
        <w:ind w:left="1457" w:hanging="360"/>
      </w:pPr>
      <w:rPr>
        <w:rFonts w:ascii="Wingdings" w:hAnsi="Wingdings" w:cs="Wingdings" w:hint="default"/>
        <w:color w:val="auto"/>
        <w:sz w:val="16"/>
        <w:szCs w:val="16"/>
      </w:rPr>
    </w:lvl>
    <w:lvl w:ilvl="1">
      <w:numFmt w:val="bullet"/>
      <w:lvlText w:val="-"/>
      <w:lvlJc w:val="left"/>
      <w:pPr>
        <w:tabs>
          <w:tab w:val="num" w:pos="1457"/>
        </w:tabs>
        <w:ind w:left="1457" w:hanging="360"/>
      </w:pPr>
      <w:rPr>
        <w:rFonts w:ascii="Arial" w:eastAsia="Times New Roman" w:hAnsi="Arial" w:hint="default"/>
      </w:rPr>
    </w:lvl>
    <w:lvl w:ilvl="2">
      <w:start w:val="1"/>
      <w:numFmt w:val="bullet"/>
      <w:lvlText w:val=""/>
      <w:lvlJc w:val="left"/>
      <w:pPr>
        <w:tabs>
          <w:tab w:val="num" w:pos="2177"/>
        </w:tabs>
        <w:ind w:left="2177" w:hanging="360"/>
      </w:pPr>
      <w:rPr>
        <w:rFonts w:ascii="Wingdings" w:hAnsi="Wingdings" w:cs="Wingdings" w:hint="default"/>
      </w:rPr>
    </w:lvl>
    <w:lvl w:ilvl="3">
      <w:start w:val="1"/>
      <w:numFmt w:val="bullet"/>
      <w:lvlText w:val=""/>
      <w:lvlJc w:val="left"/>
      <w:pPr>
        <w:tabs>
          <w:tab w:val="num" w:pos="2897"/>
        </w:tabs>
        <w:ind w:left="2897" w:hanging="360"/>
      </w:pPr>
      <w:rPr>
        <w:rFonts w:ascii="Symbol" w:hAnsi="Symbol" w:cs="Symbol" w:hint="default"/>
      </w:rPr>
    </w:lvl>
    <w:lvl w:ilvl="4">
      <w:start w:val="1"/>
      <w:numFmt w:val="bullet"/>
      <w:lvlText w:val="o"/>
      <w:lvlJc w:val="left"/>
      <w:pPr>
        <w:tabs>
          <w:tab w:val="num" w:pos="3617"/>
        </w:tabs>
        <w:ind w:left="3617" w:hanging="360"/>
      </w:pPr>
      <w:rPr>
        <w:rFonts w:ascii="Courier New" w:hAnsi="Courier New" w:cs="Courier New" w:hint="default"/>
      </w:rPr>
    </w:lvl>
    <w:lvl w:ilvl="5">
      <w:start w:val="1"/>
      <w:numFmt w:val="bullet"/>
      <w:lvlText w:val=""/>
      <w:lvlJc w:val="left"/>
      <w:pPr>
        <w:tabs>
          <w:tab w:val="num" w:pos="4337"/>
        </w:tabs>
        <w:ind w:left="4337" w:hanging="360"/>
      </w:pPr>
      <w:rPr>
        <w:rFonts w:ascii="Wingdings" w:hAnsi="Wingdings" w:cs="Wingdings" w:hint="default"/>
      </w:rPr>
    </w:lvl>
    <w:lvl w:ilvl="6">
      <w:start w:val="1"/>
      <w:numFmt w:val="bullet"/>
      <w:lvlText w:val=""/>
      <w:lvlJc w:val="left"/>
      <w:pPr>
        <w:tabs>
          <w:tab w:val="num" w:pos="5057"/>
        </w:tabs>
        <w:ind w:left="5057" w:hanging="360"/>
      </w:pPr>
      <w:rPr>
        <w:rFonts w:ascii="Symbol" w:hAnsi="Symbol" w:cs="Symbol" w:hint="default"/>
      </w:rPr>
    </w:lvl>
    <w:lvl w:ilvl="7">
      <w:start w:val="1"/>
      <w:numFmt w:val="bullet"/>
      <w:lvlText w:val="o"/>
      <w:lvlJc w:val="left"/>
      <w:pPr>
        <w:tabs>
          <w:tab w:val="num" w:pos="5777"/>
        </w:tabs>
        <w:ind w:left="5777" w:hanging="360"/>
      </w:pPr>
      <w:rPr>
        <w:rFonts w:ascii="Courier New" w:hAnsi="Courier New" w:cs="Courier New" w:hint="default"/>
      </w:rPr>
    </w:lvl>
    <w:lvl w:ilvl="8">
      <w:start w:val="1"/>
      <w:numFmt w:val="bullet"/>
      <w:lvlText w:val=""/>
      <w:lvlJc w:val="left"/>
      <w:pPr>
        <w:tabs>
          <w:tab w:val="num" w:pos="6497"/>
        </w:tabs>
        <w:ind w:left="6497" w:hanging="360"/>
      </w:pPr>
      <w:rPr>
        <w:rFonts w:ascii="Wingdings" w:hAnsi="Wingdings" w:cs="Wingdings" w:hint="default"/>
      </w:rPr>
    </w:lvl>
  </w:abstractNum>
  <w:abstractNum w:abstractNumId="9">
    <w:nsid w:val="505A4120"/>
    <w:multiLevelType w:val="hybridMultilevel"/>
    <w:tmpl w:val="3D1CE692"/>
    <w:lvl w:ilvl="0" w:tplc="705A940A">
      <w:start w:val="1"/>
      <w:numFmt w:val="bullet"/>
      <w:lvlText w:val=""/>
      <w:lvlJc w:val="left"/>
      <w:pPr>
        <w:tabs>
          <w:tab w:val="num" w:pos="-3"/>
        </w:tabs>
        <w:ind w:left="360" w:hanging="360"/>
      </w:pPr>
      <w:rPr>
        <w:rFonts w:ascii="Wingdings" w:hAnsi="Wingdings" w:cs="Wingdings" w:hint="default"/>
        <w:b w:val="0"/>
        <w:bCs w:val="0"/>
        <w:i w:val="0"/>
        <w:iCs w:val="0"/>
        <w:color w:val="333399"/>
        <w:sz w:val="20"/>
        <w:szCs w:val="20"/>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0">
    <w:nsid w:val="5EC32692"/>
    <w:multiLevelType w:val="hybridMultilevel"/>
    <w:tmpl w:val="6DC83310"/>
    <w:lvl w:ilvl="0" w:tplc="778C9ED8">
      <w:start w:val="1"/>
      <w:numFmt w:val="bullet"/>
      <w:lvlText w:val=""/>
      <w:lvlJc w:val="left"/>
      <w:pPr>
        <w:tabs>
          <w:tab w:val="num" w:pos="360"/>
        </w:tabs>
        <w:ind w:left="360" w:hanging="360"/>
      </w:pPr>
      <w:rPr>
        <w:rFonts w:ascii="Wingdings" w:hAnsi="Wingdings" w:cs="Wingdings" w:hint="default"/>
        <w:color w:val="auto"/>
        <w:sz w:val="16"/>
        <w:szCs w:val="16"/>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1">
    <w:nsid w:val="5EF93B87"/>
    <w:multiLevelType w:val="multilevel"/>
    <w:tmpl w:val="01C8AE18"/>
    <w:lvl w:ilvl="0">
      <w:start w:val="1"/>
      <w:numFmt w:val="bullet"/>
      <w:lvlText w:val=""/>
      <w:lvlJc w:val="left"/>
      <w:pPr>
        <w:tabs>
          <w:tab w:val="num" w:pos="360"/>
        </w:tabs>
        <w:ind w:left="360" w:hanging="360"/>
      </w:pPr>
      <w:rPr>
        <w:rFonts w:ascii="Wingdings" w:hAnsi="Wingdings" w:cs="Wingdings" w:hint="default"/>
        <w:color w:val="auto"/>
        <w:sz w:val="16"/>
        <w:szCs w:val="16"/>
      </w:rPr>
    </w:lvl>
    <w:lvl w:ilvl="1">
      <w:numFmt w:val="bullet"/>
      <w:lvlText w:val="-"/>
      <w:lvlJc w:val="left"/>
      <w:pPr>
        <w:tabs>
          <w:tab w:val="num" w:pos="1457"/>
        </w:tabs>
        <w:ind w:left="1457" w:hanging="360"/>
      </w:pPr>
      <w:rPr>
        <w:rFonts w:ascii="Arial" w:eastAsia="Times New Roman" w:hAnsi="Arial" w:hint="default"/>
      </w:rPr>
    </w:lvl>
    <w:lvl w:ilvl="2">
      <w:start w:val="1"/>
      <w:numFmt w:val="bullet"/>
      <w:lvlText w:val=""/>
      <w:lvlJc w:val="left"/>
      <w:pPr>
        <w:tabs>
          <w:tab w:val="num" w:pos="2177"/>
        </w:tabs>
        <w:ind w:left="2177" w:hanging="360"/>
      </w:pPr>
      <w:rPr>
        <w:rFonts w:ascii="Wingdings" w:hAnsi="Wingdings" w:cs="Wingdings" w:hint="default"/>
      </w:rPr>
    </w:lvl>
    <w:lvl w:ilvl="3">
      <w:start w:val="1"/>
      <w:numFmt w:val="bullet"/>
      <w:lvlText w:val=""/>
      <w:lvlJc w:val="left"/>
      <w:pPr>
        <w:tabs>
          <w:tab w:val="num" w:pos="2897"/>
        </w:tabs>
        <w:ind w:left="2897" w:hanging="360"/>
      </w:pPr>
      <w:rPr>
        <w:rFonts w:ascii="Symbol" w:hAnsi="Symbol" w:cs="Symbol" w:hint="default"/>
      </w:rPr>
    </w:lvl>
    <w:lvl w:ilvl="4">
      <w:start w:val="1"/>
      <w:numFmt w:val="bullet"/>
      <w:lvlText w:val="o"/>
      <w:lvlJc w:val="left"/>
      <w:pPr>
        <w:tabs>
          <w:tab w:val="num" w:pos="3617"/>
        </w:tabs>
        <w:ind w:left="3617" w:hanging="360"/>
      </w:pPr>
      <w:rPr>
        <w:rFonts w:ascii="Courier New" w:hAnsi="Courier New" w:cs="Courier New" w:hint="default"/>
      </w:rPr>
    </w:lvl>
    <w:lvl w:ilvl="5">
      <w:start w:val="1"/>
      <w:numFmt w:val="bullet"/>
      <w:lvlText w:val=""/>
      <w:lvlJc w:val="left"/>
      <w:pPr>
        <w:tabs>
          <w:tab w:val="num" w:pos="4337"/>
        </w:tabs>
        <w:ind w:left="4337" w:hanging="360"/>
      </w:pPr>
      <w:rPr>
        <w:rFonts w:ascii="Wingdings" w:hAnsi="Wingdings" w:cs="Wingdings" w:hint="default"/>
      </w:rPr>
    </w:lvl>
    <w:lvl w:ilvl="6">
      <w:start w:val="1"/>
      <w:numFmt w:val="bullet"/>
      <w:lvlText w:val=""/>
      <w:lvlJc w:val="left"/>
      <w:pPr>
        <w:tabs>
          <w:tab w:val="num" w:pos="5057"/>
        </w:tabs>
        <w:ind w:left="5057" w:hanging="360"/>
      </w:pPr>
      <w:rPr>
        <w:rFonts w:ascii="Symbol" w:hAnsi="Symbol" w:cs="Symbol" w:hint="default"/>
      </w:rPr>
    </w:lvl>
    <w:lvl w:ilvl="7">
      <w:start w:val="1"/>
      <w:numFmt w:val="bullet"/>
      <w:lvlText w:val="o"/>
      <w:lvlJc w:val="left"/>
      <w:pPr>
        <w:tabs>
          <w:tab w:val="num" w:pos="5777"/>
        </w:tabs>
        <w:ind w:left="5777" w:hanging="360"/>
      </w:pPr>
      <w:rPr>
        <w:rFonts w:ascii="Courier New" w:hAnsi="Courier New" w:cs="Courier New" w:hint="default"/>
      </w:rPr>
    </w:lvl>
    <w:lvl w:ilvl="8">
      <w:start w:val="1"/>
      <w:numFmt w:val="bullet"/>
      <w:lvlText w:val=""/>
      <w:lvlJc w:val="left"/>
      <w:pPr>
        <w:tabs>
          <w:tab w:val="num" w:pos="6497"/>
        </w:tabs>
        <w:ind w:left="6497" w:hanging="360"/>
      </w:pPr>
      <w:rPr>
        <w:rFonts w:ascii="Wingdings" w:hAnsi="Wingdings" w:cs="Wingdings" w:hint="default"/>
      </w:rPr>
    </w:lvl>
  </w:abstractNum>
  <w:abstractNum w:abstractNumId="12">
    <w:nsid w:val="60433818"/>
    <w:multiLevelType w:val="hybridMultilevel"/>
    <w:tmpl w:val="616CCB1C"/>
    <w:lvl w:ilvl="0" w:tplc="705A940A">
      <w:start w:val="1"/>
      <w:numFmt w:val="bullet"/>
      <w:lvlText w:val=""/>
      <w:lvlJc w:val="left"/>
      <w:pPr>
        <w:tabs>
          <w:tab w:val="num" w:pos="357"/>
        </w:tabs>
        <w:ind w:left="720" w:hanging="360"/>
      </w:pPr>
      <w:rPr>
        <w:rFonts w:ascii="Wingdings" w:hAnsi="Wingdings" w:cs="Wingdings" w:hint="default"/>
        <w:b w:val="0"/>
        <w:bCs w:val="0"/>
        <w:i w:val="0"/>
        <w:iCs w:val="0"/>
        <w:color w:val="333399"/>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3">
    <w:nsid w:val="70571C19"/>
    <w:multiLevelType w:val="hybridMultilevel"/>
    <w:tmpl w:val="C7686600"/>
    <w:lvl w:ilvl="0" w:tplc="778C9ED8">
      <w:start w:val="1"/>
      <w:numFmt w:val="bullet"/>
      <w:lvlText w:val=""/>
      <w:lvlJc w:val="left"/>
      <w:pPr>
        <w:tabs>
          <w:tab w:val="num" w:pos="900"/>
        </w:tabs>
        <w:ind w:left="900" w:hanging="360"/>
      </w:pPr>
      <w:rPr>
        <w:rFonts w:ascii="Wingdings" w:hAnsi="Wingdings" w:cs="Wingdings" w:hint="default"/>
        <w:color w:val="auto"/>
        <w:sz w:val="16"/>
        <w:szCs w:val="16"/>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start w:val="1"/>
      <w:numFmt w:val="bullet"/>
      <w:lvlText w:val=""/>
      <w:lvlJc w:val="left"/>
      <w:pPr>
        <w:tabs>
          <w:tab w:val="num" w:pos="2700"/>
        </w:tabs>
        <w:ind w:left="2700" w:hanging="360"/>
      </w:pPr>
      <w:rPr>
        <w:rFonts w:ascii="Wingdings" w:hAnsi="Wingdings" w:cs="Wingdings" w:hint="default"/>
      </w:rPr>
    </w:lvl>
    <w:lvl w:ilvl="3" w:tplc="08090001">
      <w:start w:val="1"/>
      <w:numFmt w:val="bullet"/>
      <w:lvlText w:val=""/>
      <w:lvlJc w:val="left"/>
      <w:pPr>
        <w:tabs>
          <w:tab w:val="num" w:pos="3420"/>
        </w:tabs>
        <w:ind w:left="3420" w:hanging="360"/>
      </w:pPr>
      <w:rPr>
        <w:rFonts w:ascii="Symbol" w:hAnsi="Symbol" w:cs="Symbol" w:hint="default"/>
      </w:rPr>
    </w:lvl>
    <w:lvl w:ilvl="4" w:tplc="08090003">
      <w:start w:val="1"/>
      <w:numFmt w:val="bullet"/>
      <w:lvlText w:val="o"/>
      <w:lvlJc w:val="left"/>
      <w:pPr>
        <w:tabs>
          <w:tab w:val="num" w:pos="4140"/>
        </w:tabs>
        <w:ind w:left="4140" w:hanging="360"/>
      </w:pPr>
      <w:rPr>
        <w:rFonts w:ascii="Courier New" w:hAnsi="Courier New" w:cs="Courier New" w:hint="default"/>
      </w:rPr>
    </w:lvl>
    <w:lvl w:ilvl="5" w:tplc="08090005">
      <w:start w:val="1"/>
      <w:numFmt w:val="bullet"/>
      <w:lvlText w:val=""/>
      <w:lvlJc w:val="left"/>
      <w:pPr>
        <w:tabs>
          <w:tab w:val="num" w:pos="4860"/>
        </w:tabs>
        <w:ind w:left="4860" w:hanging="360"/>
      </w:pPr>
      <w:rPr>
        <w:rFonts w:ascii="Wingdings" w:hAnsi="Wingdings" w:cs="Wingdings" w:hint="default"/>
      </w:rPr>
    </w:lvl>
    <w:lvl w:ilvl="6" w:tplc="08090001">
      <w:start w:val="1"/>
      <w:numFmt w:val="bullet"/>
      <w:lvlText w:val=""/>
      <w:lvlJc w:val="left"/>
      <w:pPr>
        <w:tabs>
          <w:tab w:val="num" w:pos="5580"/>
        </w:tabs>
        <w:ind w:left="5580" w:hanging="360"/>
      </w:pPr>
      <w:rPr>
        <w:rFonts w:ascii="Symbol" w:hAnsi="Symbol" w:cs="Symbol" w:hint="default"/>
      </w:rPr>
    </w:lvl>
    <w:lvl w:ilvl="7" w:tplc="08090003">
      <w:start w:val="1"/>
      <w:numFmt w:val="bullet"/>
      <w:lvlText w:val="o"/>
      <w:lvlJc w:val="left"/>
      <w:pPr>
        <w:tabs>
          <w:tab w:val="num" w:pos="6300"/>
        </w:tabs>
        <w:ind w:left="6300" w:hanging="360"/>
      </w:pPr>
      <w:rPr>
        <w:rFonts w:ascii="Courier New" w:hAnsi="Courier New" w:cs="Courier New" w:hint="default"/>
      </w:rPr>
    </w:lvl>
    <w:lvl w:ilvl="8" w:tplc="08090005">
      <w:start w:val="1"/>
      <w:numFmt w:val="bullet"/>
      <w:lvlText w:val=""/>
      <w:lvlJc w:val="left"/>
      <w:pPr>
        <w:tabs>
          <w:tab w:val="num" w:pos="7020"/>
        </w:tabs>
        <w:ind w:left="7020" w:hanging="360"/>
      </w:pPr>
      <w:rPr>
        <w:rFonts w:ascii="Wingdings" w:hAnsi="Wingdings" w:cs="Wingdings" w:hint="default"/>
      </w:rPr>
    </w:lvl>
  </w:abstractNum>
  <w:num w:numId="1">
    <w:abstractNumId w:val="3"/>
  </w:num>
  <w:num w:numId="2">
    <w:abstractNumId w:val="0"/>
  </w:num>
  <w:num w:numId="3">
    <w:abstractNumId w:val="7"/>
  </w:num>
  <w:num w:numId="4">
    <w:abstractNumId w:val="12"/>
  </w:num>
  <w:num w:numId="5">
    <w:abstractNumId w:val="9"/>
  </w:num>
  <w:num w:numId="6">
    <w:abstractNumId w:val="5"/>
  </w:num>
  <w:num w:numId="7">
    <w:abstractNumId w:val="2"/>
  </w:num>
  <w:num w:numId="8">
    <w:abstractNumId w:val="10"/>
  </w:num>
  <w:num w:numId="9">
    <w:abstractNumId w:val="13"/>
  </w:num>
  <w:num w:numId="10">
    <w:abstractNumId w:val="6"/>
  </w:num>
  <w:num w:numId="11">
    <w:abstractNumId w:val="8"/>
  </w:num>
  <w:num w:numId="12">
    <w:abstractNumId w:val="1"/>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A80"/>
    <w:rsid w:val="00036F7F"/>
    <w:rsid w:val="00044E83"/>
    <w:rsid w:val="00054175"/>
    <w:rsid w:val="00083B4E"/>
    <w:rsid w:val="000B6E60"/>
    <w:rsid w:val="000C2E40"/>
    <w:rsid w:val="001047B7"/>
    <w:rsid w:val="00122D17"/>
    <w:rsid w:val="001276C3"/>
    <w:rsid w:val="00143011"/>
    <w:rsid w:val="0017038D"/>
    <w:rsid w:val="001B504D"/>
    <w:rsid w:val="001B7D30"/>
    <w:rsid w:val="001D425B"/>
    <w:rsid w:val="002157B1"/>
    <w:rsid w:val="002217D1"/>
    <w:rsid w:val="00226F51"/>
    <w:rsid w:val="00227706"/>
    <w:rsid w:val="0024121D"/>
    <w:rsid w:val="00251F9D"/>
    <w:rsid w:val="002565FB"/>
    <w:rsid w:val="002954F6"/>
    <w:rsid w:val="002B008F"/>
    <w:rsid w:val="002C7FC7"/>
    <w:rsid w:val="002E14ED"/>
    <w:rsid w:val="00320F08"/>
    <w:rsid w:val="0032521F"/>
    <w:rsid w:val="00332E8F"/>
    <w:rsid w:val="00356CD6"/>
    <w:rsid w:val="00396033"/>
    <w:rsid w:val="003B3788"/>
    <w:rsid w:val="003D52F9"/>
    <w:rsid w:val="003F2CBE"/>
    <w:rsid w:val="00405E0A"/>
    <w:rsid w:val="00471B34"/>
    <w:rsid w:val="00473E77"/>
    <w:rsid w:val="00491134"/>
    <w:rsid w:val="00496A94"/>
    <w:rsid w:val="004B0730"/>
    <w:rsid w:val="004B65AE"/>
    <w:rsid w:val="004C7D9E"/>
    <w:rsid w:val="004E30BD"/>
    <w:rsid w:val="004E4C9D"/>
    <w:rsid w:val="005231A2"/>
    <w:rsid w:val="00527865"/>
    <w:rsid w:val="005307B2"/>
    <w:rsid w:val="0058161B"/>
    <w:rsid w:val="005877E8"/>
    <w:rsid w:val="005E320A"/>
    <w:rsid w:val="005E5E44"/>
    <w:rsid w:val="005F530B"/>
    <w:rsid w:val="00627ADA"/>
    <w:rsid w:val="006A139E"/>
    <w:rsid w:val="006A699F"/>
    <w:rsid w:val="006C6E8F"/>
    <w:rsid w:val="00745BC4"/>
    <w:rsid w:val="007701A7"/>
    <w:rsid w:val="00786A44"/>
    <w:rsid w:val="007A59E4"/>
    <w:rsid w:val="007B081F"/>
    <w:rsid w:val="007B5A6E"/>
    <w:rsid w:val="00826D4D"/>
    <w:rsid w:val="00834DE7"/>
    <w:rsid w:val="00836046"/>
    <w:rsid w:val="008515E7"/>
    <w:rsid w:val="00852D1B"/>
    <w:rsid w:val="00921B15"/>
    <w:rsid w:val="00926B74"/>
    <w:rsid w:val="00957CCC"/>
    <w:rsid w:val="009A2639"/>
    <w:rsid w:val="009A4061"/>
    <w:rsid w:val="00A326E1"/>
    <w:rsid w:val="00A36B08"/>
    <w:rsid w:val="00A84EC0"/>
    <w:rsid w:val="00A95C50"/>
    <w:rsid w:val="00AB46E2"/>
    <w:rsid w:val="00AC3E58"/>
    <w:rsid w:val="00AD01C5"/>
    <w:rsid w:val="00AE0E05"/>
    <w:rsid w:val="00B15773"/>
    <w:rsid w:val="00B360D6"/>
    <w:rsid w:val="00B4607C"/>
    <w:rsid w:val="00B8537C"/>
    <w:rsid w:val="00BA6219"/>
    <w:rsid w:val="00BF62EC"/>
    <w:rsid w:val="00C04564"/>
    <w:rsid w:val="00C07A80"/>
    <w:rsid w:val="00C4225E"/>
    <w:rsid w:val="00C42D8E"/>
    <w:rsid w:val="00C43FA0"/>
    <w:rsid w:val="00C734F5"/>
    <w:rsid w:val="00C8761F"/>
    <w:rsid w:val="00CC0848"/>
    <w:rsid w:val="00CC3082"/>
    <w:rsid w:val="00CD1FB4"/>
    <w:rsid w:val="00CD7FE4"/>
    <w:rsid w:val="00CE6251"/>
    <w:rsid w:val="00D217CA"/>
    <w:rsid w:val="00D35594"/>
    <w:rsid w:val="00D52346"/>
    <w:rsid w:val="00D615FE"/>
    <w:rsid w:val="00D67D8E"/>
    <w:rsid w:val="00D91458"/>
    <w:rsid w:val="00DA1862"/>
    <w:rsid w:val="00DA1DEB"/>
    <w:rsid w:val="00DB5EE1"/>
    <w:rsid w:val="00DD05F4"/>
    <w:rsid w:val="00DE112D"/>
    <w:rsid w:val="00E33E5F"/>
    <w:rsid w:val="00E34D2D"/>
    <w:rsid w:val="00EA01B6"/>
    <w:rsid w:val="00F53927"/>
    <w:rsid w:val="00F73221"/>
    <w:rsid w:val="00FD28F0"/>
    <w:rsid w:val="00FF7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1B6"/>
    <w:rPr>
      <w:sz w:val="24"/>
      <w:szCs w:val="24"/>
      <w:lang w:eastAsia="ja-JP"/>
    </w:rPr>
  </w:style>
  <w:style w:type="paragraph" w:styleId="Heading1">
    <w:name w:val="heading 1"/>
    <w:basedOn w:val="Normal"/>
    <w:next w:val="Normal"/>
    <w:link w:val="Heading1Char"/>
    <w:uiPriority w:val="99"/>
    <w:qFormat/>
    <w:rsid w:val="00EA01B6"/>
    <w:pPr>
      <w:keepNext/>
      <w:keepLines/>
      <w:spacing w:before="240"/>
      <w:outlineLvl w:val="0"/>
    </w:pPr>
    <w:rPr>
      <w:rFonts w:ascii="Cambria" w:hAnsi="Cambria" w:cs="Cambria"/>
      <w:b/>
      <w:bCs/>
      <w:color w:val="365F91"/>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A01B6"/>
    <w:rPr>
      <w:rFonts w:ascii="Cambria" w:hAnsi="Cambria" w:cs="Cambria"/>
      <w:b/>
      <w:bCs/>
      <w:color w:val="365F91"/>
      <w:sz w:val="28"/>
      <w:szCs w:val="28"/>
      <w:lang w:val="en-GB" w:eastAsia="en-GB"/>
    </w:rPr>
  </w:style>
  <w:style w:type="paragraph" w:customStyle="1" w:styleId="Sofiabullet">
    <w:name w:val="Sofia bullet"/>
    <w:basedOn w:val="Normal"/>
    <w:uiPriority w:val="99"/>
    <w:rsid w:val="00C07A80"/>
    <w:pPr>
      <w:framePr w:hSpace="180" w:wrap="auto" w:vAnchor="text" w:hAnchor="margin" w:xAlign="right" w:y="-68"/>
      <w:numPr>
        <w:numId w:val="1"/>
      </w:numPr>
      <w:spacing w:before="60" w:after="60"/>
    </w:pPr>
    <w:rPr>
      <w:rFonts w:ascii="Arial" w:hAnsi="Arial" w:cs="Arial"/>
      <w:sz w:val="20"/>
      <w:szCs w:val="20"/>
      <w:lang w:eastAsia="en-GB"/>
    </w:rPr>
  </w:style>
  <w:style w:type="paragraph" w:styleId="Header">
    <w:name w:val="header"/>
    <w:basedOn w:val="Normal"/>
    <w:link w:val="HeaderChar"/>
    <w:uiPriority w:val="99"/>
    <w:rsid w:val="00527865"/>
    <w:pPr>
      <w:tabs>
        <w:tab w:val="center" w:pos="4153"/>
        <w:tab w:val="right" w:pos="8306"/>
      </w:tabs>
    </w:pPr>
  </w:style>
  <w:style w:type="character" w:customStyle="1" w:styleId="HeaderChar">
    <w:name w:val="Header Char"/>
    <w:link w:val="Header"/>
    <w:uiPriority w:val="99"/>
    <w:semiHidden/>
    <w:locked/>
    <w:rsid w:val="00DE112D"/>
    <w:rPr>
      <w:sz w:val="24"/>
      <w:szCs w:val="24"/>
      <w:lang w:eastAsia="ja-JP"/>
    </w:rPr>
  </w:style>
  <w:style w:type="paragraph" w:styleId="Footer">
    <w:name w:val="footer"/>
    <w:basedOn w:val="Normal"/>
    <w:link w:val="FooterChar"/>
    <w:uiPriority w:val="99"/>
    <w:rsid w:val="00527865"/>
    <w:pPr>
      <w:tabs>
        <w:tab w:val="center" w:pos="4153"/>
        <w:tab w:val="right" w:pos="8306"/>
      </w:tabs>
    </w:pPr>
  </w:style>
  <w:style w:type="character" w:customStyle="1" w:styleId="FooterChar">
    <w:name w:val="Footer Char"/>
    <w:link w:val="Footer"/>
    <w:uiPriority w:val="99"/>
    <w:semiHidden/>
    <w:locked/>
    <w:rsid w:val="00DE112D"/>
    <w:rPr>
      <w:sz w:val="24"/>
      <w:szCs w:val="24"/>
      <w:lang w:eastAsia="ja-JP"/>
    </w:rPr>
  </w:style>
  <w:style w:type="paragraph" w:customStyle="1" w:styleId="Sofiaheading2">
    <w:name w:val="Sofia heading 2"/>
    <w:uiPriority w:val="99"/>
    <w:rsid w:val="00527865"/>
    <w:pPr>
      <w:widowControl w:val="0"/>
    </w:pPr>
    <w:rPr>
      <w:rFonts w:ascii="Arial Narrow" w:hAnsi="Arial Narrow" w:cs="Arial Narrow"/>
      <w:b/>
      <w:bCs/>
      <w:caps/>
      <w:color w:val="786450"/>
      <w:sz w:val="24"/>
      <w:szCs w:val="24"/>
    </w:rPr>
  </w:style>
  <w:style w:type="character" w:styleId="Hyperlink">
    <w:name w:val="Hyperlink"/>
    <w:uiPriority w:val="99"/>
    <w:rsid w:val="00405E0A"/>
    <w:rPr>
      <w:color w:val="0000FF"/>
      <w:u w:val="single"/>
    </w:rPr>
  </w:style>
  <w:style w:type="paragraph" w:styleId="BalloonText">
    <w:name w:val="Balloon Text"/>
    <w:basedOn w:val="Normal"/>
    <w:link w:val="BalloonTextChar"/>
    <w:uiPriority w:val="99"/>
    <w:semiHidden/>
    <w:rsid w:val="00AD01C5"/>
    <w:rPr>
      <w:rFonts w:ascii="Tahoma" w:hAnsi="Tahoma" w:cs="Tahoma"/>
      <w:sz w:val="16"/>
      <w:szCs w:val="16"/>
    </w:rPr>
  </w:style>
  <w:style w:type="character" w:customStyle="1" w:styleId="BalloonTextChar">
    <w:name w:val="Balloon Text Char"/>
    <w:link w:val="BalloonText"/>
    <w:uiPriority w:val="99"/>
    <w:semiHidden/>
    <w:locked/>
    <w:rsid w:val="00DE112D"/>
    <w:rPr>
      <w:sz w:val="2"/>
      <w:szCs w:val="2"/>
      <w:lang w:eastAsia="ja-JP"/>
    </w:rPr>
  </w:style>
  <w:style w:type="character" w:styleId="CommentReference">
    <w:name w:val="annotation reference"/>
    <w:uiPriority w:val="99"/>
    <w:semiHidden/>
    <w:rsid w:val="00627ADA"/>
    <w:rPr>
      <w:sz w:val="16"/>
      <w:szCs w:val="16"/>
    </w:rPr>
  </w:style>
  <w:style w:type="paragraph" w:styleId="CommentText">
    <w:name w:val="annotation text"/>
    <w:basedOn w:val="Normal"/>
    <w:link w:val="CommentTextChar"/>
    <w:uiPriority w:val="99"/>
    <w:semiHidden/>
    <w:rsid w:val="00627ADA"/>
    <w:rPr>
      <w:sz w:val="20"/>
      <w:szCs w:val="20"/>
    </w:rPr>
  </w:style>
  <w:style w:type="character" w:customStyle="1" w:styleId="CommentTextChar">
    <w:name w:val="Comment Text Char"/>
    <w:link w:val="CommentText"/>
    <w:uiPriority w:val="99"/>
    <w:semiHidden/>
    <w:locked/>
    <w:rsid w:val="00C43FA0"/>
    <w:rPr>
      <w:sz w:val="20"/>
      <w:szCs w:val="20"/>
      <w:lang w:eastAsia="ja-JP"/>
    </w:rPr>
  </w:style>
  <w:style w:type="paragraph" w:styleId="CommentSubject">
    <w:name w:val="annotation subject"/>
    <w:basedOn w:val="CommentText"/>
    <w:next w:val="CommentText"/>
    <w:link w:val="CommentSubjectChar"/>
    <w:uiPriority w:val="99"/>
    <w:semiHidden/>
    <w:rsid w:val="00627ADA"/>
    <w:rPr>
      <w:b/>
      <w:bCs/>
    </w:rPr>
  </w:style>
  <w:style w:type="character" w:customStyle="1" w:styleId="CommentSubjectChar">
    <w:name w:val="Comment Subject Char"/>
    <w:link w:val="CommentSubject"/>
    <w:uiPriority w:val="99"/>
    <w:semiHidden/>
    <w:locked/>
    <w:rsid w:val="00C43FA0"/>
    <w:rPr>
      <w:b/>
      <w:bCs/>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1B6"/>
    <w:rPr>
      <w:sz w:val="24"/>
      <w:szCs w:val="24"/>
      <w:lang w:eastAsia="ja-JP"/>
    </w:rPr>
  </w:style>
  <w:style w:type="paragraph" w:styleId="Heading1">
    <w:name w:val="heading 1"/>
    <w:basedOn w:val="Normal"/>
    <w:next w:val="Normal"/>
    <w:link w:val="Heading1Char"/>
    <w:uiPriority w:val="99"/>
    <w:qFormat/>
    <w:rsid w:val="00EA01B6"/>
    <w:pPr>
      <w:keepNext/>
      <w:keepLines/>
      <w:spacing w:before="240"/>
      <w:outlineLvl w:val="0"/>
    </w:pPr>
    <w:rPr>
      <w:rFonts w:ascii="Cambria" w:hAnsi="Cambria" w:cs="Cambria"/>
      <w:b/>
      <w:bCs/>
      <w:color w:val="365F91"/>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A01B6"/>
    <w:rPr>
      <w:rFonts w:ascii="Cambria" w:hAnsi="Cambria" w:cs="Cambria"/>
      <w:b/>
      <w:bCs/>
      <w:color w:val="365F91"/>
      <w:sz w:val="28"/>
      <w:szCs w:val="28"/>
      <w:lang w:val="en-GB" w:eastAsia="en-GB"/>
    </w:rPr>
  </w:style>
  <w:style w:type="paragraph" w:customStyle="1" w:styleId="Sofiabullet">
    <w:name w:val="Sofia bullet"/>
    <w:basedOn w:val="Normal"/>
    <w:uiPriority w:val="99"/>
    <w:rsid w:val="00C07A80"/>
    <w:pPr>
      <w:framePr w:hSpace="180" w:wrap="auto" w:vAnchor="text" w:hAnchor="margin" w:xAlign="right" w:y="-68"/>
      <w:numPr>
        <w:numId w:val="1"/>
      </w:numPr>
      <w:spacing w:before="60" w:after="60"/>
    </w:pPr>
    <w:rPr>
      <w:rFonts w:ascii="Arial" w:hAnsi="Arial" w:cs="Arial"/>
      <w:sz w:val="20"/>
      <w:szCs w:val="20"/>
      <w:lang w:eastAsia="en-GB"/>
    </w:rPr>
  </w:style>
  <w:style w:type="paragraph" w:styleId="Header">
    <w:name w:val="header"/>
    <w:basedOn w:val="Normal"/>
    <w:link w:val="HeaderChar"/>
    <w:uiPriority w:val="99"/>
    <w:rsid w:val="00527865"/>
    <w:pPr>
      <w:tabs>
        <w:tab w:val="center" w:pos="4153"/>
        <w:tab w:val="right" w:pos="8306"/>
      </w:tabs>
    </w:pPr>
  </w:style>
  <w:style w:type="character" w:customStyle="1" w:styleId="HeaderChar">
    <w:name w:val="Header Char"/>
    <w:link w:val="Header"/>
    <w:uiPriority w:val="99"/>
    <w:semiHidden/>
    <w:locked/>
    <w:rsid w:val="00DE112D"/>
    <w:rPr>
      <w:sz w:val="24"/>
      <w:szCs w:val="24"/>
      <w:lang w:eastAsia="ja-JP"/>
    </w:rPr>
  </w:style>
  <w:style w:type="paragraph" w:styleId="Footer">
    <w:name w:val="footer"/>
    <w:basedOn w:val="Normal"/>
    <w:link w:val="FooterChar"/>
    <w:uiPriority w:val="99"/>
    <w:rsid w:val="00527865"/>
    <w:pPr>
      <w:tabs>
        <w:tab w:val="center" w:pos="4153"/>
        <w:tab w:val="right" w:pos="8306"/>
      </w:tabs>
    </w:pPr>
  </w:style>
  <w:style w:type="character" w:customStyle="1" w:styleId="FooterChar">
    <w:name w:val="Footer Char"/>
    <w:link w:val="Footer"/>
    <w:uiPriority w:val="99"/>
    <w:semiHidden/>
    <w:locked/>
    <w:rsid w:val="00DE112D"/>
    <w:rPr>
      <w:sz w:val="24"/>
      <w:szCs w:val="24"/>
      <w:lang w:eastAsia="ja-JP"/>
    </w:rPr>
  </w:style>
  <w:style w:type="paragraph" w:customStyle="1" w:styleId="Sofiaheading2">
    <w:name w:val="Sofia heading 2"/>
    <w:uiPriority w:val="99"/>
    <w:rsid w:val="00527865"/>
    <w:pPr>
      <w:widowControl w:val="0"/>
    </w:pPr>
    <w:rPr>
      <w:rFonts w:ascii="Arial Narrow" w:hAnsi="Arial Narrow" w:cs="Arial Narrow"/>
      <w:b/>
      <w:bCs/>
      <w:caps/>
      <w:color w:val="786450"/>
      <w:sz w:val="24"/>
      <w:szCs w:val="24"/>
    </w:rPr>
  </w:style>
  <w:style w:type="character" w:styleId="Hyperlink">
    <w:name w:val="Hyperlink"/>
    <w:uiPriority w:val="99"/>
    <w:rsid w:val="00405E0A"/>
    <w:rPr>
      <w:color w:val="0000FF"/>
      <w:u w:val="single"/>
    </w:rPr>
  </w:style>
  <w:style w:type="paragraph" w:styleId="BalloonText">
    <w:name w:val="Balloon Text"/>
    <w:basedOn w:val="Normal"/>
    <w:link w:val="BalloonTextChar"/>
    <w:uiPriority w:val="99"/>
    <w:semiHidden/>
    <w:rsid w:val="00AD01C5"/>
    <w:rPr>
      <w:rFonts w:ascii="Tahoma" w:hAnsi="Tahoma" w:cs="Tahoma"/>
      <w:sz w:val="16"/>
      <w:szCs w:val="16"/>
    </w:rPr>
  </w:style>
  <w:style w:type="character" w:customStyle="1" w:styleId="BalloonTextChar">
    <w:name w:val="Balloon Text Char"/>
    <w:link w:val="BalloonText"/>
    <w:uiPriority w:val="99"/>
    <w:semiHidden/>
    <w:locked/>
    <w:rsid w:val="00DE112D"/>
    <w:rPr>
      <w:sz w:val="2"/>
      <w:szCs w:val="2"/>
      <w:lang w:eastAsia="ja-JP"/>
    </w:rPr>
  </w:style>
  <w:style w:type="character" w:styleId="CommentReference">
    <w:name w:val="annotation reference"/>
    <w:uiPriority w:val="99"/>
    <w:semiHidden/>
    <w:rsid w:val="00627ADA"/>
    <w:rPr>
      <w:sz w:val="16"/>
      <w:szCs w:val="16"/>
    </w:rPr>
  </w:style>
  <w:style w:type="paragraph" w:styleId="CommentText">
    <w:name w:val="annotation text"/>
    <w:basedOn w:val="Normal"/>
    <w:link w:val="CommentTextChar"/>
    <w:uiPriority w:val="99"/>
    <w:semiHidden/>
    <w:rsid w:val="00627ADA"/>
    <w:rPr>
      <w:sz w:val="20"/>
      <w:szCs w:val="20"/>
    </w:rPr>
  </w:style>
  <w:style w:type="character" w:customStyle="1" w:styleId="CommentTextChar">
    <w:name w:val="Comment Text Char"/>
    <w:link w:val="CommentText"/>
    <w:uiPriority w:val="99"/>
    <w:semiHidden/>
    <w:locked/>
    <w:rsid w:val="00C43FA0"/>
    <w:rPr>
      <w:sz w:val="20"/>
      <w:szCs w:val="20"/>
      <w:lang w:eastAsia="ja-JP"/>
    </w:rPr>
  </w:style>
  <w:style w:type="paragraph" w:styleId="CommentSubject">
    <w:name w:val="annotation subject"/>
    <w:basedOn w:val="CommentText"/>
    <w:next w:val="CommentText"/>
    <w:link w:val="CommentSubjectChar"/>
    <w:uiPriority w:val="99"/>
    <w:semiHidden/>
    <w:rsid w:val="00627ADA"/>
    <w:rPr>
      <w:b/>
      <w:bCs/>
    </w:rPr>
  </w:style>
  <w:style w:type="character" w:customStyle="1" w:styleId="CommentSubjectChar">
    <w:name w:val="Comment Subject Char"/>
    <w:link w:val="CommentSubject"/>
    <w:uiPriority w:val="99"/>
    <w:semiHidden/>
    <w:locked/>
    <w:rsid w:val="00C43FA0"/>
    <w:rPr>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pancmed@uclh.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Expected Robotic Assisted Laparoscopic Prostatectomy</vt:lpstr>
    </vt:vector>
  </TitlesOfParts>
  <Company>UCL Hospitals NHS Foundation Trust</Company>
  <LinksUpToDate>false</LinksUpToDate>
  <CharactersWithSpaces>4414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Expected Robotic Assisted Laparoscopic Prostatectomy</dc:title>
  <dc:creator>SMAVROMM</dc:creator>
  <cp:lastModifiedBy>John Bridgewater</cp:lastModifiedBy>
  <cp:revision>2</cp:revision>
  <cp:lastPrinted>2013-06-14T11:00:00Z</cp:lastPrinted>
  <dcterms:created xsi:type="dcterms:W3CDTF">2015-04-30T09:30:00Z</dcterms:created>
  <dcterms:modified xsi:type="dcterms:W3CDTF">2015-04-30T09:30:00Z</dcterms:modified>
</cp:coreProperties>
</file>