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903" w:rsidRPr="00954FAD" w:rsidRDefault="00035903" w:rsidP="00035903">
      <w:pPr>
        <w:spacing w:after="0" w:line="480" w:lineRule="auto"/>
        <w:rPr>
          <w:rFonts w:eastAsia="Calibri" w:cs="Times New Roman"/>
          <w:sz w:val="22"/>
          <w:lang w:val="en-GB"/>
        </w:rPr>
      </w:pPr>
      <w:r w:rsidRPr="00954FAD">
        <w:rPr>
          <w:rFonts w:eastAsia="MS Gothic" w:cs="Times New Roman"/>
          <w:b/>
          <w:bCs/>
          <w:sz w:val="22"/>
          <w:lang w:val="en-GB"/>
        </w:rPr>
        <w:t xml:space="preserve">Supplementary table </w:t>
      </w:r>
      <w:r w:rsidR="00A15EB7">
        <w:rPr>
          <w:rFonts w:eastAsia="MS Gothic" w:cs="Times New Roman"/>
          <w:b/>
          <w:bCs/>
          <w:sz w:val="22"/>
          <w:lang w:val="en-GB"/>
        </w:rPr>
        <w:t>5</w:t>
      </w:r>
      <w:bookmarkStart w:id="0" w:name="_GoBack"/>
      <w:bookmarkEnd w:id="0"/>
      <w:r w:rsidRPr="00954FAD">
        <w:rPr>
          <w:rFonts w:eastAsia="MS Gothic" w:cs="Times New Roman"/>
          <w:b/>
          <w:bCs/>
          <w:sz w:val="22"/>
          <w:lang w:val="en-GB"/>
        </w:rPr>
        <w:t xml:space="preserve"> </w:t>
      </w:r>
      <w:r w:rsidRPr="00954FAD">
        <w:rPr>
          <w:rFonts w:cs="Times New Roman"/>
          <w:sz w:val="22"/>
          <w:lang w:val="en-GB"/>
        </w:rPr>
        <w:t>Receiver Operating Characteristics (ROC) curve analysis. ROC curves for individual biomarkers were generated using log2 (2</w:t>
      </w:r>
      <w:r w:rsidRPr="00954FAD">
        <w:rPr>
          <w:rFonts w:cs="Times New Roman"/>
          <w:sz w:val="22"/>
          <w:vertAlign w:val="superscript"/>
          <w:lang w:val="en-GB"/>
        </w:rPr>
        <w:t>-ΔΔCT</w:t>
      </w:r>
      <w:r w:rsidRPr="00954FAD">
        <w:rPr>
          <w:rFonts w:cs="Times New Roman"/>
          <w:sz w:val="22"/>
          <w:lang w:val="en-GB"/>
        </w:rPr>
        <w:t>) gene expression values and thyroid tissue type [differentiated thyroid carcinoma (DTC) and normal or DTC and follicular thyroid adenoma (FTA)] as input. For evaluation of the combined biomarker panel the sum of log2 (2</w:t>
      </w:r>
      <w:r w:rsidRPr="00954FAD">
        <w:rPr>
          <w:rFonts w:cs="Times New Roman"/>
          <w:sz w:val="22"/>
          <w:vertAlign w:val="superscript"/>
          <w:lang w:val="en-GB"/>
        </w:rPr>
        <w:t>-ΔΔCT</w:t>
      </w:r>
      <w:r w:rsidRPr="00954FAD">
        <w:rPr>
          <w:rFonts w:cs="Times New Roman"/>
          <w:sz w:val="22"/>
          <w:lang w:val="en-GB"/>
        </w:rPr>
        <w:t>) expression values from genes with gain (</w:t>
      </w:r>
      <w:r w:rsidRPr="00954FAD">
        <w:rPr>
          <w:rFonts w:cs="Times New Roman"/>
          <w:i/>
          <w:sz w:val="22"/>
          <w:lang w:val="en-GB"/>
        </w:rPr>
        <w:t>C1QL1</w:t>
      </w:r>
      <w:r w:rsidRPr="00954FAD">
        <w:rPr>
          <w:rFonts w:cs="Times New Roman"/>
          <w:sz w:val="22"/>
          <w:lang w:val="en-GB"/>
        </w:rPr>
        <w:t xml:space="preserve"> and </w:t>
      </w:r>
      <w:r w:rsidRPr="00954FAD">
        <w:rPr>
          <w:rFonts w:cs="Times New Roman"/>
          <w:i/>
          <w:sz w:val="22"/>
          <w:lang w:val="en-GB"/>
        </w:rPr>
        <w:t>LCN2</w:t>
      </w:r>
      <w:r w:rsidRPr="00954FAD">
        <w:rPr>
          <w:rFonts w:cs="Times New Roman"/>
          <w:sz w:val="22"/>
          <w:lang w:val="en-GB"/>
        </w:rPr>
        <w:t>) and loss (</w:t>
      </w:r>
      <w:r w:rsidRPr="00954FAD">
        <w:rPr>
          <w:rFonts w:cs="Times New Roman"/>
          <w:i/>
          <w:sz w:val="22"/>
          <w:lang w:val="en-GB"/>
        </w:rPr>
        <w:t>CRABP1</w:t>
      </w:r>
      <w:r w:rsidRPr="00954FAD">
        <w:rPr>
          <w:rFonts w:cs="Times New Roman"/>
          <w:sz w:val="22"/>
          <w:lang w:val="en-GB"/>
        </w:rPr>
        <w:t xml:space="preserve"> and </w:t>
      </w:r>
      <w:r w:rsidRPr="00954FAD">
        <w:rPr>
          <w:rFonts w:cs="Times New Roman"/>
          <w:i/>
          <w:sz w:val="22"/>
          <w:lang w:val="en-GB"/>
        </w:rPr>
        <w:t>CILP</w:t>
      </w:r>
      <w:r w:rsidRPr="00954FAD">
        <w:rPr>
          <w:rFonts w:cs="Times New Roman"/>
          <w:sz w:val="22"/>
          <w:lang w:val="en-GB"/>
        </w:rPr>
        <w:t>) in DTC were used.</w:t>
      </w:r>
      <w:r>
        <w:rPr>
          <w:rFonts w:cs="Times New Roman"/>
          <w:sz w:val="22"/>
          <w:lang w:val="en-GB"/>
        </w:rPr>
        <w:t xml:space="preserve"> </w:t>
      </w:r>
      <w:r w:rsidRPr="00BA15DC">
        <w:rPr>
          <w:rFonts w:cs="Times New Roman"/>
          <w:sz w:val="22"/>
          <w:lang w:val="en-GB"/>
        </w:rPr>
        <w:t>AUC, area under the curve; CI, confidence interval.</w:t>
      </w:r>
    </w:p>
    <w:tbl>
      <w:tblPr>
        <w:tblStyle w:val="LightShading11"/>
        <w:tblW w:w="14220" w:type="dxa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1418"/>
        <w:gridCol w:w="1984"/>
        <w:gridCol w:w="2835"/>
        <w:gridCol w:w="1843"/>
        <w:gridCol w:w="1921"/>
      </w:tblGrid>
      <w:tr w:rsidR="00035903" w:rsidRPr="008C7A75" w:rsidTr="00A9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</w:p>
        </w:tc>
        <w:tc>
          <w:tcPr>
            <w:tcW w:w="1559" w:type="dxa"/>
            <w:vAlign w:val="bottom"/>
          </w:tcPr>
          <w:p w:rsidR="00035903" w:rsidRPr="008C7A75" w:rsidRDefault="00035903" w:rsidP="00A950C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Biomarkers</w:t>
            </w:r>
          </w:p>
        </w:tc>
        <w:tc>
          <w:tcPr>
            <w:tcW w:w="1418" w:type="dxa"/>
            <w:vAlign w:val="bottom"/>
          </w:tcPr>
          <w:p w:rsidR="00035903" w:rsidRPr="008C7A75" w:rsidRDefault="00035903" w:rsidP="00A950C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 w:val="0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AUC</w:t>
            </w:r>
          </w:p>
        </w:tc>
        <w:tc>
          <w:tcPr>
            <w:tcW w:w="1984" w:type="dxa"/>
            <w:vAlign w:val="bottom"/>
          </w:tcPr>
          <w:p w:rsidR="00035903" w:rsidRPr="008C7A75" w:rsidRDefault="00035903" w:rsidP="00A950C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 w:val="0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Standard error</w:t>
            </w:r>
          </w:p>
        </w:tc>
        <w:tc>
          <w:tcPr>
            <w:tcW w:w="2835" w:type="dxa"/>
            <w:vAlign w:val="bottom"/>
          </w:tcPr>
          <w:p w:rsidR="00035903" w:rsidRPr="008C7A75" w:rsidRDefault="00035903" w:rsidP="00A950C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 w:val="0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Asymptotic significance</w:t>
            </w:r>
          </w:p>
        </w:tc>
        <w:tc>
          <w:tcPr>
            <w:tcW w:w="1843" w:type="dxa"/>
            <w:vAlign w:val="bottom"/>
          </w:tcPr>
          <w:p w:rsidR="00035903" w:rsidRPr="008C7A75" w:rsidRDefault="00035903" w:rsidP="00A950C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 w:val="0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95% CI lower</w:t>
            </w:r>
          </w:p>
        </w:tc>
        <w:tc>
          <w:tcPr>
            <w:tcW w:w="1921" w:type="dxa"/>
            <w:vAlign w:val="bottom"/>
          </w:tcPr>
          <w:p w:rsidR="00035903" w:rsidRPr="008C7A75" w:rsidRDefault="00035903" w:rsidP="00A950C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Cs w:val="0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95% CI upper</w:t>
            </w:r>
          </w:p>
        </w:tc>
      </w:tr>
      <w:tr w:rsidR="00035903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DTC Vs Normal</w:t>
            </w: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i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C1QL1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0.799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0.05</w:t>
            </w:r>
            <w:r w:rsidRPr="008C7A75">
              <w:rPr>
                <w:rFonts w:eastAsia="Calibri" w:cs="Times New Roman"/>
                <w:sz w:val="22"/>
                <w:lang w:val="en-GB"/>
              </w:rPr>
              <w:t>3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2.</w:t>
            </w: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1</w:t>
            </w:r>
            <w:r w:rsidRPr="008C7A75">
              <w:rPr>
                <w:rFonts w:eastAsia="Calibri" w:cs="Times New Roman"/>
                <w:sz w:val="22"/>
                <w:lang w:val="en-GB"/>
              </w:rPr>
              <w:t>E-3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0.694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0.903</w:t>
            </w:r>
          </w:p>
        </w:tc>
      </w:tr>
      <w:tr w:rsidR="00035903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i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LCN2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0.7</w:t>
            </w: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83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0.06</w:t>
            </w:r>
            <w:r w:rsidRPr="008C7A75">
              <w:rPr>
                <w:rFonts w:eastAsia="Calibri" w:cs="Times New Roman"/>
                <w:sz w:val="22"/>
                <w:lang w:val="en-GB"/>
              </w:rPr>
              <w:t>1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3.6</w:t>
            </w:r>
            <w:r w:rsidRPr="008C7A75">
              <w:rPr>
                <w:rFonts w:eastAsia="Calibri" w:cs="Times New Roman"/>
                <w:sz w:val="22"/>
                <w:lang w:val="en-GB"/>
              </w:rPr>
              <w:t>E-3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0.664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0.902</w:t>
            </w:r>
          </w:p>
        </w:tc>
      </w:tr>
      <w:tr w:rsidR="00035903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i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CRABP1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0.902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0.033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3.4E-5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0.838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0.9</w:t>
            </w:r>
            <w:r w:rsidRPr="008C7A75">
              <w:rPr>
                <w:rFonts w:eastAsia="Calibri" w:cs="Times New Roman"/>
                <w:sz w:val="22"/>
                <w:lang w:val="en-GB"/>
              </w:rPr>
              <w:t>66</w:t>
            </w:r>
          </w:p>
        </w:tc>
      </w:tr>
      <w:tr w:rsidR="00035903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CILP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0.687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0.05</w:t>
            </w:r>
            <w:r w:rsidRPr="008C7A75">
              <w:rPr>
                <w:rFonts w:eastAsia="Calibri" w:cs="Times New Roman"/>
                <w:sz w:val="22"/>
                <w:lang w:val="en-GB"/>
              </w:rPr>
              <w:t>6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5.5E-2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0.576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0.797</w:t>
            </w:r>
          </w:p>
        </w:tc>
      </w:tr>
      <w:tr w:rsidR="00035903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Panel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</w:t>
            </w: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927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0.0</w:t>
            </w: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27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1.1E-5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0.874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</w:t>
            </w:r>
            <w:r w:rsidRPr="008C7A75">
              <w:rPr>
                <w:rFonts w:eastAsia="Calibri" w:cs="Times New Roman"/>
                <w:color w:val="auto"/>
                <w:sz w:val="22"/>
                <w:lang w:val="en-GB"/>
              </w:rPr>
              <w:t>9</w:t>
            </w:r>
            <w:r w:rsidRPr="008C7A75">
              <w:rPr>
                <w:rFonts w:eastAsia="Calibri" w:cs="Times New Roman"/>
                <w:sz w:val="22"/>
                <w:lang w:val="en-GB"/>
              </w:rPr>
              <w:t>79</w:t>
            </w:r>
          </w:p>
        </w:tc>
      </w:tr>
      <w:tr w:rsidR="00035903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DTC Vs FTA</w:t>
            </w: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C1QL1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0.566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0.081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4.8E-1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0.408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0.725</w:t>
            </w:r>
          </w:p>
        </w:tc>
      </w:tr>
      <w:tr w:rsidR="00035903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i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LCN2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0.898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0.040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1.9E-5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0.819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0.977</w:t>
            </w:r>
          </w:p>
        </w:tc>
      </w:tr>
      <w:tr w:rsidR="00035903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i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CRABP1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0.746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0.064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8.3E-3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0.621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0.871</w:t>
            </w:r>
          </w:p>
        </w:tc>
      </w:tr>
      <w:tr w:rsidR="00035903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i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i/>
                <w:sz w:val="22"/>
                <w:lang w:val="en-GB"/>
              </w:rPr>
              <w:t>CILP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0.675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0.080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6.1E-2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0.518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0.831</w:t>
            </w:r>
          </w:p>
        </w:tc>
      </w:tr>
      <w:tr w:rsidR="00035903" w:rsidRPr="008C7A75" w:rsidTr="00A950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035903" w:rsidRPr="008C7A75" w:rsidRDefault="00035903" w:rsidP="00A950C7">
            <w:pPr>
              <w:spacing w:after="0"/>
              <w:rPr>
                <w:rFonts w:eastAsia="Calibri" w:cs="Times New Roman"/>
                <w:sz w:val="22"/>
                <w:lang w:val="en-GB"/>
              </w:rPr>
            </w:pPr>
          </w:p>
        </w:tc>
        <w:tc>
          <w:tcPr>
            <w:tcW w:w="1559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Panel</w:t>
            </w:r>
          </w:p>
        </w:tc>
        <w:tc>
          <w:tcPr>
            <w:tcW w:w="1418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0.839</w:t>
            </w:r>
          </w:p>
        </w:tc>
        <w:tc>
          <w:tcPr>
            <w:tcW w:w="1984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0.051</w:t>
            </w:r>
          </w:p>
        </w:tc>
        <w:tc>
          <w:tcPr>
            <w:tcW w:w="2835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2.7E-4</w:t>
            </w:r>
          </w:p>
        </w:tc>
        <w:tc>
          <w:tcPr>
            <w:tcW w:w="1843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0.740</w:t>
            </w:r>
          </w:p>
        </w:tc>
        <w:tc>
          <w:tcPr>
            <w:tcW w:w="1921" w:type="dxa"/>
          </w:tcPr>
          <w:p w:rsidR="00035903" w:rsidRPr="008C7A75" w:rsidRDefault="00035903" w:rsidP="00A950C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sz w:val="22"/>
                <w:lang w:val="en-GB"/>
              </w:rPr>
            </w:pPr>
            <w:r w:rsidRPr="008C7A75">
              <w:rPr>
                <w:rFonts w:eastAsia="Calibri" w:cs="Times New Roman"/>
                <w:sz w:val="22"/>
                <w:lang w:val="en-GB"/>
              </w:rPr>
              <w:t>0.938</w:t>
            </w:r>
          </w:p>
        </w:tc>
      </w:tr>
    </w:tbl>
    <w:p w:rsidR="00035903" w:rsidRPr="008C7A75" w:rsidRDefault="00035903" w:rsidP="00035903">
      <w:pPr>
        <w:spacing w:after="0" w:line="276" w:lineRule="auto"/>
        <w:jc w:val="left"/>
        <w:rPr>
          <w:rFonts w:eastAsia="Calibri" w:cs="Times New Roman"/>
          <w:sz w:val="22"/>
          <w:lang w:val="en-GB"/>
        </w:rPr>
      </w:pPr>
    </w:p>
    <w:p w:rsidR="004A5983" w:rsidRDefault="004A5983"/>
    <w:sectPr w:rsidR="004A5983" w:rsidSect="0094129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290"/>
    <w:rsid w:val="00035903"/>
    <w:rsid w:val="004A5983"/>
    <w:rsid w:val="00941290"/>
    <w:rsid w:val="00A1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086E"/>
  <w15:chartTrackingRefBased/>
  <w15:docId w15:val="{049A8DC5-4B2E-4A8B-B894-909D85B7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903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1">
    <w:name w:val="Light Shading11"/>
    <w:basedOn w:val="Tabelanormal"/>
    <w:uiPriority w:val="60"/>
    <w:rsid w:val="00035903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2</cp:revision>
  <dcterms:created xsi:type="dcterms:W3CDTF">2016-09-13T21:10:00Z</dcterms:created>
  <dcterms:modified xsi:type="dcterms:W3CDTF">2016-09-13T21:41:00Z</dcterms:modified>
</cp:coreProperties>
</file>