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95F" w:rsidRPr="00954FAD" w:rsidRDefault="0020295F" w:rsidP="0020295F">
      <w:pPr>
        <w:spacing w:line="276" w:lineRule="auto"/>
        <w:jc w:val="left"/>
        <w:rPr>
          <w:sz w:val="22"/>
          <w:lang w:val="en-GB"/>
        </w:rPr>
      </w:pPr>
      <w:r w:rsidRPr="008C7A75">
        <w:rPr>
          <w:rFonts w:eastAsia="MS Gothic"/>
          <w:b/>
          <w:bCs/>
          <w:sz w:val="22"/>
          <w:lang w:val="en-GB"/>
        </w:rPr>
        <w:t xml:space="preserve">Supplementary table </w:t>
      </w:r>
      <w:r w:rsidR="00C97B8C">
        <w:rPr>
          <w:rFonts w:eastAsia="MS Gothic"/>
          <w:b/>
          <w:bCs/>
          <w:sz w:val="22"/>
          <w:lang w:val="en-GB"/>
        </w:rPr>
        <w:t>6</w:t>
      </w:r>
      <w:bookmarkStart w:id="0" w:name="_GoBack"/>
      <w:bookmarkEnd w:id="0"/>
      <w:r w:rsidRPr="008C7A75">
        <w:rPr>
          <w:rFonts w:eastAsia="MS Gothic"/>
          <w:b/>
          <w:bCs/>
          <w:sz w:val="22"/>
          <w:lang w:val="en-GB"/>
        </w:rPr>
        <w:t xml:space="preserve"> </w:t>
      </w:r>
      <w:proofErr w:type="spellStart"/>
      <w:r w:rsidRPr="00954FAD">
        <w:rPr>
          <w:sz w:val="22"/>
          <w:lang w:val="en-GB"/>
        </w:rPr>
        <w:t>Clinicopathological</w:t>
      </w:r>
      <w:proofErr w:type="spellEnd"/>
      <w:r w:rsidRPr="00954FAD">
        <w:rPr>
          <w:sz w:val="22"/>
          <w:lang w:val="en-GB"/>
        </w:rPr>
        <w:t xml:space="preserve"> and genetic data of the FTC classified by classes based on gene expression.</w:t>
      </w:r>
    </w:p>
    <w:tbl>
      <w:tblPr>
        <w:tblStyle w:val="LightShading11"/>
        <w:tblW w:w="0" w:type="auto"/>
        <w:tblLook w:val="04A0" w:firstRow="1" w:lastRow="0" w:firstColumn="1" w:lastColumn="0" w:noHBand="0" w:noVBand="1"/>
      </w:tblPr>
      <w:tblGrid>
        <w:gridCol w:w="2518"/>
        <w:gridCol w:w="979"/>
        <w:gridCol w:w="864"/>
        <w:gridCol w:w="994"/>
        <w:gridCol w:w="979"/>
        <w:gridCol w:w="864"/>
        <w:gridCol w:w="1050"/>
        <w:gridCol w:w="864"/>
        <w:gridCol w:w="1002"/>
        <w:gridCol w:w="928"/>
        <w:gridCol w:w="864"/>
        <w:gridCol w:w="1002"/>
        <w:gridCol w:w="928"/>
      </w:tblGrid>
      <w:tr w:rsidR="0020295F" w:rsidRPr="008C7A75" w:rsidTr="00A950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1843" w:type="dxa"/>
            <w:gridSpan w:val="2"/>
          </w:tcPr>
          <w:p w:rsidR="0020295F" w:rsidRPr="008C7A75" w:rsidRDefault="0020295F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>C1QL1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fold change</w:t>
            </w:r>
          </w:p>
        </w:tc>
        <w:tc>
          <w:tcPr>
            <w:tcW w:w="994" w:type="dxa"/>
          </w:tcPr>
          <w:p w:rsidR="0020295F" w:rsidRPr="008C7A75" w:rsidRDefault="0020295F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1843" w:type="dxa"/>
            <w:gridSpan w:val="2"/>
          </w:tcPr>
          <w:p w:rsidR="0020295F" w:rsidRPr="008C7A75" w:rsidRDefault="0020295F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>LCN2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fold change</w:t>
            </w:r>
          </w:p>
        </w:tc>
        <w:tc>
          <w:tcPr>
            <w:tcW w:w="1050" w:type="dxa"/>
          </w:tcPr>
          <w:p w:rsidR="0020295F" w:rsidRPr="008C7A75" w:rsidRDefault="0020295F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gridSpan w:val="2"/>
          </w:tcPr>
          <w:p w:rsidR="0020295F" w:rsidRPr="008C7A75" w:rsidRDefault="0020295F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>CRABP1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fold change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gridSpan w:val="2"/>
          </w:tcPr>
          <w:p w:rsidR="0020295F" w:rsidRPr="008C7A75" w:rsidRDefault="0020295F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>CILP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fold change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</w:tr>
      <w:tr w:rsidR="0020295F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Normal ≤1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Gain &gt;1</w:t>
            </w:r>
          </w:p>
        </w:tc>
        <w:tc>
          <w:tcPr>
            <w:tcW w:w="994" w:type="dxa"/>
          </w:tcPr>
          <w:p w:rsidR="0020295F" w:rsidRPr="008C7A75" w:rsidRDefault="0020295F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i/>
                <w:sz w:val="16"/>
                <w:szCs w:val="16"/>
                <w:lang w:val="en-GB"/>
              </w:rPr>
              <w:t>P</w:t>
            </w: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Normal  ≤1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Gain &gt;1</w:t>
            </w:r>
          </w:p>
        </w:tc>
        <w:tc>
          <w:tcPr>
            <w:tcW w:w="1050" w:type="dxa"/>
          </w:tcPr>
          <w:p w:rsidR="0020295F" w:rsidRPr="008C7A75" w:rsidRDefault="0020295F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i/>
                <w:sz w:val="16"/>
                <w:szCs w:val="16"/>
                <w:lang w:val="en-GB"/>
              </w:rPr>
              <w:t>P</w:t>
            </w: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Loss &lt;-1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Normal ≥-1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i/>
                <w:sz w:val="16"/>
                <w:szCs w:val="16"/>
                <w:lang w:val="en-GB"/>
              </w:rPr>
              <w:t>P</w:t>
            </w: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Loss &lt;-1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Normal ≥-1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i/>
                <w:sz w:val="16"/>
                <w:szCs w:val="16"/>
                <w:lang w:val="en-GB"/>
              </w:rPr>
              <w:t>P</w:t>
            </w: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</w:tr>
      <w:tr w:rsidR="0020295F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FTC (n=15)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99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1050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</w:tr>
      <w:tr w:rsidR="0020295F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Age (n)</w:t>
            </w:r>
          </w:p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Mean (years)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49.8±4.8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55.9±6.3</w:t>
            </w:r>
          </w:p>
        </w:tc>
        <w:tc>
          <w:tcPr>
            <w:tcW w:w="99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(0.463)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47.75±3.5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63.0±5.9</w:t>
            </w:r>
          </w:p>
        </w:tc>
        <w:tc>
          <w:tcPr>
            <w:tcW w:w="1050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(0.059)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13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52.9±4.5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51.0±2.0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(0.933)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55.8±5.7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51.6±2.3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(0.898)</w:t>
            </w:r>
          </w:p>
        </w:tc>
      </w:tr>
      <w:tr w:rsidR="0020295F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Tumour size (n)</w:t>
            </w:r>
          </w:p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Mean (cm)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3.34±0.42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4.61±0.84</w:t>
            </w:r>
          </w:p>
        </w:tc>
        <w:tc>
          <w:tcPr>
            <w:tcW w:w="99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(0.232)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4.03±0.67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3.30±0.53</w:t>
            </w:r>
          </w:p>
        </w:tc>
        <w:tc>
          <w:tcPr>
            <w:tcW w:w="1050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(0.491)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13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3.81±0.52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4.75±0.75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(0.381)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3.71±0.61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3.72±0.66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(1.000)</w:t>
            </w:r>
          </w:p>
        </w:tc>
      </w:tr>
      <w:tr w:rsidR="0020295F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Gender (n)</w:t>
            </w:r>
          </w:p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Female (%)</w:t>
            </w:r>
          </w:p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Male (%)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 (75.0)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(25.0)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 (85.7)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(14.3)</w:t>
            </w:r>
          </w:p>
        </w:tc>
        <w:tc>
          <w:tcPr>
            <w:tcW w:w="99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(0.554)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 (87.5)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(12.5)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(66.7)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(33.3)</w:t>
            </w:r>
          </w:p>
        </w:tc>
        <w:tc>
          <w:tcPr>
            <w:tcW w:w="1050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(0.385)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13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 (76.9)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 (23.1)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(100)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(0.629)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 (66.7)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 (33.3)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 (100)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(0.231)</w:t>
            </w:r>
          </w:p>
        </w:tc>
      </w:tr>
      <w:tr w:rsidR="0020295F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Capsule (n)</w:t>
            </w:r>
          </w:p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 (100)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 (100)</w:t>
            </w:r>
          </w:p>
        </w:tc>
        <w:tc>
          <w:tcPr>
            <w:tcW w:w="99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 (100)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(100)</w:t>
            </w:r>
          </w:p>
        </w:tc>
        <w:tc>
          <w:tcPr>
            <w:tcW w:w="1050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13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13 (100)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(100)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 (100)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 (100)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</w:tr>
      <w:tr w:rsidR="0020295F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Capsular invasion (n)</w:t>
            </w:r>
          </w:p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 (100)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 (100)</w:t>
            </w:r>
          </w:p>
        </w:tc>
        <w:tc>
          <w:tcPr>
            <w:tcW w:w="99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 (100)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(100)</w:t>
            </w:r>
          </w:p>
        </w:tc>
        <w:tc>
          <w:tcPr>
            <w:tcW w:w="1050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13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13 (100)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(100)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 (100)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 (100)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</w:tr>
      <w:tr w:rsidR="0020295F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Invasiveness degree (n)</w:t>
            </w:r>
          </w:p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Minimally invasive (%)</w:t>
            </w:r>
          </w:p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Widely invasive (%)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 (100)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(28.6)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 (71.4)</w:t>
            </w:r>
          </w:p>
        </w:tc>
        <w:tc>
          <w:tcPr>
            <w:tcW w:w="99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0.007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 (62.5)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 (37.5)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4 (66.7) 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(33.3)</w:t>
            </w:r>
          </w:p>
        </w:tc>
        <w:tc>
          <w:tcPr>
            <w:tcW w:w="1050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(0.657)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13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 (69.2)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(30.8)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(50.0)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(50.0)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(0.571)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 (55.6)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(44.4)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(80.0)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(20.0)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(0.378)</w:t>
            </w:r>
          </w:p>
        </w:tc>
      </w:tr>
      <w:tr w:rsidR="0020295F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Vascular invasion (n)</w:t>
            </w:r>
          </w:p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 (75.0)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 (71.4)</w:t>
            </w:r>
          </w:p>
        </w:tc>
        <w:tc>
          <w:tcPr>
            <w:tcW w:w="99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(0.662)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 (62.5)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 (83.3)</w:t>
            </w:r>
          </w:p>
        </w:tc>
        <w:tc>
          <w:tcPr>
            <w:tcW w:w="1050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(0.406)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13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10 (76.9)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(50.0)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(0.476)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 (66.7)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(80.0)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(0.545)</w:t>
            </w:r>
          </w:p>
        </w:tc>
      </w:tr>
      <w:tr w:rsidR="0020295F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Lymph node metastasis (n)</w:t>
            </w:r>
          </w:p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99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050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13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</w:tr>
      <w:tr w:rsidR="0020295F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proofErr w:type="spellStart"/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Extrathyroidal</w:t>
            </w:r>
            <w:proofErr w:type="spellEnd"/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extension (n)</w:t>
            </w:r>
          </w:p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(14.3)</w:t>
            </w:r>
          </w:p>
        </w:tc>
        <w:tc>
          <w:tcPr>
            <w:tcW w:w="99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(0.467)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(12.5)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050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(0.571)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13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(7.69)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(0.867)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(11.1)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(0.643)</w:t>
            </w:r>
          </w:p>
        </w:tc>
      </w:tr>
      <w:tr w:rsidR="0020295F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Distant metastasis (n)</w:t>
            </w:r>
          </w:p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(14.3)</w:t>
            </w:r>
          </w:p>
        </w:tc>
        <w:tc>
          <w:tcPr>
            <w:tcW w:w="99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(0.467)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(12.5)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050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(0.571)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13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(7.69)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(0.867)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(11.1)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(0.643)</w:t>
            </w:r>
          </w:p>
        </w:tc>
      </w:tr>
      <w:tr w:rsidR="0020295F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Lymphocytic thyroiditis (n)</w:t>
            </w:r>
          </w:p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(57.1)</w:t>
            </w:r>
          </w:p>
        </w:tc>
        <w:tc>
          <w:tcPr>
            <w:tcW w:w="99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0.026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(12.5)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(33.3)</w:t>
            </w:r>
          </w:p>
        </w:tc>
        <w:tc>
          <w:tcPr>
            <w:tcW w:w="1050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(0.385)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13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 (23.1)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(50.0)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(0.476)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(22.2)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(20.0)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(0.725)</w:t>
            </w:r>
          </w:p>
        </w:tc>
      </w:tr>
      <w:tr w:rsidR="0020295F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proofErr w:type="spellStart"/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Oncocytic</w:t>
            </w:r>
            <w:proofErr w:type="spellEnd"/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(n)</w:t>
            </w:r>
          </w:p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(25.0)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4 (57.1)</w:t>
            </w:r>
          </w:p>
        </w:tc>
        <w:tc>
          <w:tcPr>
            <w:tcW w:w="99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(0.231)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(12.5)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 (83.3)</w:t>
            </w:r>
          </w:p>
        </w:tc>
        <w:tc>
          <w:tcPr>
            <w:tcW w:w="1050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b/>
                <w:sz w:val="16"/>
                <w:szCs w:val="16"/>
                <w:lang w:val="en-GB"/>
              </w:rPr>
              <w:t>0.016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13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 (38.4)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(50.0)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(0.657)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 (55.6)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(20.0)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(0.238)</w:t>
            </w:r>
          </w:p>
        </w:tc>
      </w:tr>
      <w:tr w:rsidR="0020295F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>PAX8-PPARG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rearrangements (n)</w:t>
            </w:r>
          </w:p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(12.5)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99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(0.533)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(12.5)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050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(0.571)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13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(7.69)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(0.867)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(20.0)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(0.357)</w:t>
            </w:r>
          </w:p>
        </w:tc>
      </w:tr>
      <w:tr w:rsidR="0020295F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>RET/PTC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rearrangements (n)</w:t>
            </w:r>
          </w:p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(12.5)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99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(0.533)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(12.5)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050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(0.571)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13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(7.69)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(0.867)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(20.0)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(0.357)</w:t>
            </w:r>
          </w:p>
        </w:tc>
      </w:tr>
      <w:tr w:rsidR="0020295F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 xml:space="preserve">   RET/PTC1 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rearrangement (n)</w:t>
            </w:r>
          </w:p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(12.5)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99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(0.533)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(12.5)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050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(0.571)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13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(7.69)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(0.867)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(20.0)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(0.357)</w:t>
            </w:r>
          </w:p>
        </w:tc>
      </w:tr>
      <w:tr w:rsidR="0020295F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 xml:space="preserve">   RET/PTC3 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rearrangement (n)</w:t>
            </w:r>
          </w:p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99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050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13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</w:tr>
      <w:tr w:rsidR="0020295F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>BRAF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mutation (n)</w:t>
            </w:r>
          </w:p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i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99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1050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13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</w:tr>
      <w:tr w:rsidR="0020295F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t>NRAS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mutation (n)</w:t>
            </w:r>
          </w:p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(12.5)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(14.3)</w:t>
            </w:r>
          </w:p>
        </w:tc>
        <w:tc>
          <w:tcPr>
            <w:tcW w:w="99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(0.100)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3 (37.5)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(33.3)</w:t>
            </w:r>
          </w:p>
        </w:tc>
        <w:tc>
          <w:tcPr>
            <w:tcW w:w="1050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(0.657)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13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 (38.5)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(0.429)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 (55.6)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(0.063)</w:t>
            </w:r>
          </w:p>
        </w:tc>
      </w:tr>
      <w:tr w:rsidR="0020295F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i/>
                <w:sz w:val="16"/>
                <w:szCs w:val="16"/>
                <w:lang w:val="en-GB"/>
              </w:rPr>
              <w:lastRenderedPageBreak/>
              <w:t>TERT</w:t>
            </w: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promoter mutation (n)</w:t>
            </w:r>
          </w:p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 xml:space="preserve">   Positive (%)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7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(28.6)</w:t>
            </w:r>
          </w:p>
        </w:tc>
        <w:tc>
          <w:tcPr>
            <w:tcW w:w="99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(0.200)</w:t>
            </w: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8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(12.5)</w:t>
            </w: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6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 (16.7)</w:t>
            </w:r>
          </w:p>
        </w:tc>
        <w:tc>
          <w:tcPr>
            <w:tcW w:w="1050" w:type="dxa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(0.692)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13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(15.4)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(0.743)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9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2 (22.2)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5</w:t>
            </w:r>
          </w:p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  <w:r w:rsidRPr="008C7A75">
              <w:rPr>
                <w:rFonts w:eastAsia="Calibri" w:cs="Times New Roman"/>
                <w:sz w:val="16"/>
                <w:szCs w:val="16"/>
                <w:lang w:val="en-GB"/>
              </w:rPr>
              <w:t>NS (0.396)</w:t>
            </w:r>
          </w:p>
        </w:tc>
      </w:tr>
      <w:tr w:rsidR="0020295F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20295F" w:rsidRPr="008C7A75" w:rsidRDefault="0020295F" w:rsidP="00A950C7">
            <w:pPr>
              <w:spacing w:after="0" w:line="240" w:lineRule="auto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99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979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864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1050" w:type="dxa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20295F" w:rsidRPr="008C7A75" w:rsidRDefault="0020295F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lang w:val="en-GB"/>
              </w:rPr>
            </w:pPr>
          </w:p>
        </w:tc>
      </w:tr>
    </w:tbl>
    <w:p w:rsidR="0020295F" w:rsidRPr="008C7A75" w:rsidRDefault="0020295F" w:rsidP="0020295F">
      <w:pPr>
        <w:spacing w:after="20" w:line="240" w:lineRule="auto"/>
        <w:rPr>
          <w:rFonts w:eastAsia="Calibri" w:cs="Times New Roman"/>
          <w:sz w:val="18"/>
          <w:szCs w:val="18"/>
          <w:lang w:val="en-GB"/>
        </w:rPr>
      </w:pPr>
      <w:r w:rsidRPr="008C7A75">
        <w:rPr>
          <w:rFonts w:eastAsia="Calibri" w:cs="Times New Roman"/>
          <w:sz w:val="18"/>
          <w:szCs w:val="18"/>
          <w:lang w:val="en-GB"/>
        </w:rPr>
        <w:t>n, number of cases with available data; 1, no statistics were computed due to constant numbers of one feature.</w:t>
      </w:r>
    </w:p>
    <w:p w:rsidR="004A5983" w:rsidRPr="0020295F" w:rsidRDefault="004A5983">
      <w:pPr>
        <w:rPr>
          <w:lang w:val="en-GB"/>
        </w:rPr>
      </w:pPr>
    </w:p>
    <w:sectPr w:rsidR="004A5983" w:rsidRPr="0020295F" w:rsidSect="0020295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95F"/>
    <w:rsid w:val="0020295F"/>
    <w:rsid w:val="004A5983"/>
    <w:rsid w:val="00C9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39C90"/>
  <w15:chartTrackingRefBased/>
  <w15:docId w15:val="{75FE5DDB-5C27-4E83-B365-EEA74C6F9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295F"/>
    <w:pPr>
      <w:spacing w:after="200" w:line="360" w:lineRule="auto"/>
      <w:jc w:val="both"/>
    </w:pPr>
    <w:rPr>
      <w:rFonts w:ascii="Times New Roman" w:hAnsi="Times New Roman"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LightShading11">
    <w:name w:val="Light Shading11"/>
    <w:basedOn w:val="Tabelanormal"/>
    <w:uiPriority w:val="60"/>
    <w:rsid w:val="0020295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Porto</Company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Celestino</dc:creator>
  <cp:keywords/>
  <dc:description/>
  <cp:lastModifiedBy>Ricardo Celestino</cp:lastModifiedBy>
  <cp:revision>2</cp:revision>
  <dcterms:created xsi:type="dcterms:W3CDTF">2016-09-13T21:34:00Z</dcterms:created>
  <dcterms:modified xsi:type="dcterms:W3CDTF">2016-09-13T21:49:00Z</dcterms:modified>
</cp:coreProperties>
</file>