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0FD" w:rsidRPr="003E5BFA" w:rsidRDefault="008450FD" w:rsidP="008450FD">
      <w:pPr>
        <w:spacing w:after="0" w:line="480" w:lineRule="auto"/>
        <w:rPr>
          <w:b/>
          <w:sz w:val="22"/>
          <w:lang w:val="en-GB"/>
        </w:rPr>
      </w:pPr>
      <w:r w:rsidRPr="008C7A75">
        <w:rPr>
          <w:rFonts w:eastAsia="MS Gothic"/>
          <w:b/>
          <w:bCs/>
          <w:sz w:val="22"/>
          <w:lang w:val="en-GB"/>
        </w:rPr>
        <w:t xml:space="preserve">Supplementary table </w:t>
      </w:r>
      <w:r w:rsidR="00F10303">
        <w:rPr>
          <w:rFonts w:eastAsia="MS Gothic"/>
          <w:b/>
          <w:bCs/>
          <w:sz w:val="22"/>
          <w:lang w:val="en-GB"/>
        </w:rPr>
        <w:t>7</w:t>
      </w:r>
      <w:bookmarkStart w:id="0" w:name="_GoBack"/>
      <w:bookmarkEnd w:id="0"/>
      <w:r w:rsidRPr="008C7A75">
        <w:rPr>
          <w:rFonts w:eastAsia="MS Gothic"/>
          <w:b/>
          <w:bCs/>
          <w:sz w:val="22"/>
          <w:lang w:val="en-GB"/>
        </w:rPr>
        <w:t xml:space="preserve"> </w:t>
      </w:r>
      <w:r w:rsidRPr="00954FAD">
        <w:rPr>
          <w:sz w:val="22"/>
          <w:lang w:val="en-GB"/>
        </w:rPr>
        <w:t>Clinicopathological and genetic data of the FVPTC classified by classes based on gene expression.</w:t>
      </w:r>
    </w:p>
    <w:tbl>
      <w:tblPr>
        <w:tblStyle w:val="LightShading11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850"/>
        <w:gridCol w:w="851"/>
        <w:gridCol w:w="992"/>
        <w:gridCol w:w="980"/>
        <w:gridCol w:w="864"/>
        <w:gridCol w:w="988"/>
        <w:gridCol w:w="871"/>
        <w:gridCol w:w="918"/>
        <w:gridCol w:w="1181"/>
        <w:gridCol w:w="871"/>
        <w:gridCol w:w="918"/>
        <w:gridCol w:w="1276"/>
      </w:tblGrid>
      <w:tr w:rsidR="008450FD" w:rsidRPr="008C7A75" w:rsidTr="00A950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gridSpan w:val="2"/>
          </w:tcPr>
          <w:p w:rsidR="008450FD" w:rsidRPr="008C7A75" w:rsidRDefault="008450FD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>C1QL1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fold change</w:t>
            </w:r>
          </w:p>
        </w:tc>
        <w:tc>
          <w:tcPr>
            <w:tcW w:w="992" w:type="dxa"/>
          </w:tcPr>
          <w:p w:rsidR="008450FD" w:rsidRPr="008C7A75" w:rsidRDefault="008450FD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1844" w:type="dxa"/>
            <w:gridSpan w:val="2"/>
          </w:tcPr>
          <w:p w:rsidR="008450FD" w:rsidRPr="008C7A75" w:rsidRDefault="008450FD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>LCN2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fold change</w:t>
            </w:r>
          </w:p>
        </w:tc>
        <w:tc>
          <w:tcPr>
            <w:tcW w:w="988" w:type="dxa"/>
          </w:tcPr>
          <w:p w:rsidR="008450FD" w:rsidRPr="008C7A75" w:rsidRDefault="008450FD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1789" w:type="dxa"/>
            <w:gridSpan w:val="2"/>
          </w:tcPr>
          <w:p w:rsidR="008450FD" w:rsidRPr="008C7A75" w:rsidRDefault="008450FD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>CRABP1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fold change</w:t>
            </w:r>
          </w:p>
        </w:tc>
        <w:tc>
          <w:tcPr>
            <w:tcW w:w="1181" w:type="dxa"/>
          </w:tcPr>
          <w:p w:rsidR="008450FD" w:rsidRPr="008C7A75" w:rsidRDefault="008450FD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1789" w:type="dxa"/>
            <w:gridSpan w:val="2"/>
          </w:tcPr>
          <w:p w:rsidR="008450FD" w:rsidRPr="008C7A75" w:rsidRDefault="008450FD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>CILP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fold change</w:t>
            </w:r>
          </w:p>
        </w:tc>
        <w:tc>
          <w:tcPr>
            <w:tcW w:w="1276" w:type="dxa"/>
          </w:tcPr>
          <w:p w:rsidR="008450FD" w:rsidRPr="008C7A75" w:rsidRDefault="008450FD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</w:tr>
      <w:tr w:rsidR="008450FD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</w:tcPr>
          <w:p w:rsidR="008450FD" w:rsidRPr="008C7A75" w:rsidRDefault="008450FD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Normal ≤1</w:t>
            </w:r>
          </w:p>
        </w:tc>
        <w:tc>
          <w:tcPr>
            <w:tcW w:w="851" w:type="dxa"/>
          </w:tcPr>
          <w:p w:rsidR="008450FD" w:rsidRPr="008C7A75" w:rsidRDefault="008450FD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Gain &gt;1</w:t>
            </w:r>
          </w:p>
        </w:tc>
        <w:tc>
          <w:tcPr>
            <w:tcW w:w="992" w:type="dxa"/>
          </w:tcPr>
          <w:p w:rsidR="008450FD" w:rsidRPr="008C7A75" w:rsidRDefault="008450FD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i/>
                <w:sz w:val="16"/>
                <w:szCs w:val="16"/>
                <w:lang w:val="en-GB"/>
              </w:rPr>
              <w:t>P</w:t>
            </w: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980" w:type="dxa"/>
          </w:tcPr>
          <w:p w:rsidR="008450FD" w:rsidRPr="008C7A75" w:rsidRDefault="008450FD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Normal  ≤1</w:t>
            </w:r>
          </w:p>
        </w:tc>
        <w:tc>
          <w:tcPr>
            <w:tcW w:w="864" w:type="dxa"/>
          </w:tcPr>
          <w:p w:rsidR="008450FD" w:rsidRPr="008C7A75" w:rsidRDefault="008450FD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Gain &gt;1</w:t>
            </w:r>
          </w:p>
        </w:tc>
        <w:tc>
          <w:tcPr>
            <w:tcW w:w="988" w:type="dxa"/>
          </w:tcPr>
          <w:p w:rsidR="008450FD" w:rsidRPr="008C7A75" w:rsidRDefault="008450FD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i/>
                <w:sz w:val="16"/>
                <w:szCs w:val="16"/>
                <w:lang w:val="en-GB"/>
              </w:rPr>
              <w:t>P</w:t>
            </w: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Loss &lt;-1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Normal ≥-1</w:t>
            </w:r>
          </w:p>
        </w:tc>
        <w:tc>
          <w:tcPr>
            <w:tcW w:w="1181" w:type="dxa"/>
          </w:tcPr>
          <w:p w:rsidR="008450FD" w:rsidRPr="008C7A75" w:rsidRDefault="008450FD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i/>
                <w:sz w:val="16"/>
                <w:szCs w:val="16"/>
                <w:lang w:val="en-GB"/>
              </w:rPr>
              <w:t>P</w:t>
            </w: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Loss &lt;-1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Normal ≥-1</w:t>
            </w:r>
          </w:p>
        </w:tc>
        <w:tc>
          <w:tcPr>
            <w:tcW w:w="1276" w:type="dxa"/>
          </w:tcPr>
          <w:p w:rsidR="008450FD" w:rsidRPr="008C7A75" w:rsidRDefault="008450FD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i/>
                <w:sz w:val="16"/>
                <w:szCs w:val="16"/>
                <w:lang w:val="en-GB"/>
              </w:rPr>
              <w:t>P</w:t>
            </w: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</w:tr>
      <w:tr w:rsidR="008450FD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FVPTC (n=23)</w:t>
            </w:r>
          </w:p>
        </w:tc>
        <w:tc>
          <w:tcPr>
            <w:tcW w:w="850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980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864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98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118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</w:tr>
      <w:tr w:rsidR="008450FD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Age (n)</w:t>
            </w:r>
          </w:p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Mean (years)</w:t>
            </w:r>
          </w:p>
        </w:tc>
        <w:tc>
          <w:tcPr>
            <w:tcW w:w="850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36.5±3.17</w:t>
            </w:r>
          </w:p>
        </w:tc>
        <w:tc>
          <w:tcPr>
            <w:tcW w:w="85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12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46.4±4.67</w:t>
            </w:r>
          </w:p>
        </w:tc>
        <w:tc>
          <w:tcPr>
            <w:tcW w:w="992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(0.115)</w:t>
            </w:r>
          </w:p>
        </w:tc>
        <w:tc>
          <w:tcPr>
            <w:tcW w:w="980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39.5±2.9</w:t>
            </w:r>
          </w:p>
        </w:tc>
        <w:tc>
          <w:tcPr>
            <w:tcW w:w="864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11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45.2±5.4</w:t>
            </w:r>
          </w:p>
        </w:tc>
        <w:tc>
          <w:tcPr>
            <w:tcW w:w="98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(0.310)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14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43.1±4.0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41.20±7.1</w:t>
            </w:r>
          </w:p>
        </w:tc>
        <w:tc>
          <w:tcPr>
            <w:tcW w:w="118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(1.000)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37.2±3.5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47.7±5.0</w:t>
            </w:r>
          </w:p>
        </w:tc>
        <w:tc>
          <w:tcPr>
            <w:tcW w:w="1276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(0.105)</w:t>
            </w:r>
          </w:p>
        </w:tc>
      </w:tr>
      <w:tr w:rsidR="008450FD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Tumour size (n)</w:t>
            </w:r>
          </w:p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Mean (cm)</w:t>
            </w:r>
          </w:p>
        </w:tc>
        <w:tc>
          <w:tcPr>
            <w:tcW w:w="850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1.87±0.43</w:t>
            </w:r>
          </w:p>
        </w:tc>
        <w:tc>
          <w:tcPr>
            <w:tcW w:w="85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12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2.58±0.44</w:t>
            </w:r>
          </w:p>
        </w:tc>
        <w:tc>
          <w:tcPr>
            <w:tcW w:w="992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(0.432)</w:t>
            </w:r>
          </w:p>
        </w:tc>
        <w:tc>
          <w:tcPr>
            <w:tcW w:w="980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2.51±0.55</w:t>
            </w:r>
          </w:p>
        </w:tc>
        <w:tc>
          <w:tcPr>
            <w:tcW w:w="864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2.09±0.45</w:t>
            </w:r>
          </w:p>
        </w:tc>
        <w:tc>
          <w:tcPr>
            <w:tcW w:w="98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(0.573)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13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2.58±0.42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1.84±0.52</w:t>
            </w:r>
          </w:p>
        </w:tc>
        <w:tc>
          <w:tcPr>
            <w:tcW w:w="118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(0.556)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1.72±0.33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2.85±0.50</w:t>
            </w:r>
          </w:p>
        </w:tc>
        <w:tc>
          <w:tcPr>
            <w:tcW w:w="1276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(0.095)</w:t>
            </w:r>
          </w:p>
        </w:tc>
      </w:tr>
      <w:tr w:rsidR="008450FD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Gender (n)</w:t>
            </w:r>
          </w:p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Female (%)</w:t>
            </w:r>
          </w:p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Male (%)</w:t>
            </w:r>
          </w:p>
        </w:tc>
        <w:tc>
          <w:tcPr>
            <w:tcW w:w="850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 (75.0)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(25.0)</w:t>
            </w:r>
          </w:p>
        </w:tc>
        <w:tc>
          <w:tcPr>
            <w:tcW w:w="85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12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 (83.3)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(16.7)</w:t>
            </w:r>
          </w:p>
        </w:tc>
        <w:tc>
          <w:tcPr>
            <w:tcW w:w="992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(0.535)</w:t>
            </w:r>
          </w:p>
        </w:tc>
        <w:tc>
          <w:tcPr>
            <w:tcW w:w="980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 (87.5)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(12.5)</w:t>
            </w:r>
          </w:p>
        </w:tc>
        <w:tc>
          <w:tcPr>
            <w:tcW w:w="864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11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 (72.7)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(27.3)</w:t>
            </w:r>
          </w:p>
        </w:tc>
        <w:tc>
          <w:tcPr>
            <w:tcW w:w="98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(0.426)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14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11 (78.6)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(21.4)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(80.0)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(20.0)</w:t>
            </w:r>
          </w:p>
        </w:tc>
        <w:tc>
          <w:tcPr>
            <w:tcW w:w="118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(0.728)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 (80.0)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(20.0)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 (80.0)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(20.0)</w:t>
            </w:r>
          </w:p>
        </w:tc>
        <w:tc>
          <w:tcPr>
            <w:tcW w:w="1276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(0.709)</w:t>
            </w:r>
          </w:p>
        </w:tc>
      </w:tr>
      <w:tr w:rsidR="008450FD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Capsule (n)</w:t>
            </w:r>
          </w:p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50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(25.0)</w:t>
            </w:r>
          </w:p>
        </w:tc>
        <w:tc>
          <w:tcPr>
            <w:tcW w:w="85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 (60.0)</w:t>
            </w:r>
          </w:p>
        </w:tc>
        <w:tc>
          <w:tcPr>
            <w:tcW w:w="992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(0.157)</w:t>
            </w:r>
          </w:p>
        </w:tc>
        <w:tc>
          <w:tcPr>
            <w:tcW w:w="980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 (71.4)</w:t>
            </w:r>
          </w:p>
        </w:tc>
        <w:tc>
          <w:tcPr>
            <w:tcW w:w="864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(30.0)</w:t>
            </w:r>
          </w:p>
        </w:tc>
        <w:tc>
          <w:tcPr>
            <w:tcW w:w="98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(0.117)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12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 (58.3)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(20.0)</w:t>
            </w:r>
          </w:p>
        </w:tc>
        <w:tc>
          <w:tcPr>
            <w:tcW w:w="118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(0.183)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(80.0)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(80.0)</w:t>
            </w:r>
          </w:p>
        </w:tc>
        <w:tc>
          <w:tcPr>
            <w:tcW w:w="1276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(0.681)</w:t>
            </w:r>
          </w:p>
        </w:tc>
      </w:tr>
      <w:tr w:rsidR="008450FD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Capsular invasion (n)</w:t>
            </w:r>
          </w:p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50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5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(40.0)</w:t>
            </w:r>
          </w:p>
        </w:tc>
        <w:tc>
          <w:tcPr>
            <w:tcW w:w="992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(0.476)</w:t>
            </w:r>
          </w:p>
        </w:tc>
        <w:tc>
          <w:tcPr>
            <w:tcW w:w="980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(25.0)</w:t>
            </w:r>
          </w:p>
        </w:tc>
        <w:tc>
          <w:tcPr>
            <w:tcW w:w="864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(33.3)</w:t>
            </w:r>
          </w:p>
        </w:tc>
        <w:tc>
          <w:tcPr>
            <w:tcW w:w="98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(0.714)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(33.3)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18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(0.714)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(66.7)</w:t>
            </w:r>
          </w:p>
        </w:tc>
        <w:tc>
          <w:tcPr>
            <w:tcW w:w="1276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(0.143)</w:t>
            </w:r>
          </w:p>
        </w:tc>
      </w:tr>
      <w:tr w:rsidR="008450FD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Vascular invasion (n)</w:t>
            </w:r>
          </w:p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50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(42.9)</w:t>
            </w:r>
          </w:p>
        </w:tc>
        <w:tc>
          <w:tcPr>
            <w:tcW w:w="85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11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(18.2)</w:t>
            </w:r>
          </w:p>
        </w:tc>
        <w:tc>
          <w:tcPr>
            <w:tcW w:w="992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(0.272)</w:t>
            </w:r>
          </w:p>
        </w:tc>
        <w:tc>
          <w:tcPr>
            <w:tcW w:w="980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(37.5)</w:t>
            </w:r>
          </w:p>
        </w:tc>
        <w:tc>
          <w:tcPr>
            <w:tcW w:w="864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(22.2)</w:t>
            </w:r>
          </w:p>
        </w:tc>
        <w:tc>
          <w:tcPr>
            <w:tcW w:w="98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(0.437)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12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 (41.7)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18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(0.128)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(33.3)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(22.2)</w:t>
            </w:r>
          </w:p>
        </w:tc>
        <w:tc>
          <w:tcPr>
            <w:tcW w:w="1276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(0.500)</w:t>
            </w:r>
          </w:p>
        </w:tc>
      </w:tr>
      <w:tr w:rsidR="008450FD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Lymph node metastasis (n)</w:t>
            </w:r>
          </w:p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50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(14.3)</w:t>
            </w:r>
          </w:p>
        </w:tc>
        <w:tc>
          <w:tcPr>
            <w:tcW w:w="85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11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(27.3)</w:t>
            </w:r>
          </w:p>
        </w:tc>
        <w:tc>
          <w:tcPr>
            <w:tcW w:w="992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(0.485)</w:t>
            </w:r>
          </w:p>
        </w:tc>
        <w:tc>
          <w:tcPr>
            <w:tcW w:w="980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(12.5)</w:t>
            </w:r>
          </w:p>
        </w:tc>
        <w:tc>
          <w:tcPr>
            <w:tcW w:w="864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(33.3)</w:t>
            </w:r>
          </w:p>
        </w:tc>
        <w:tc>
          <w:tcPr>
            <w:tcW w:w="98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(0.335)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12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(33.3)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18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(0.208)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(22.2)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(22.2)</w:t>
            </w:r>
          </w:p>
        </w:tc>
        <w:tc>
          <w:tcPr>
            <w:tcW w:w="1276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(0.712)</w:t>
            </w:r>
          </w:p>
        </w:tc>
      </w:tr>
      <w:tr w:rsidR="008450FD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Extrathyroidal extension (n)</w:t>
            </w:r>
          </w:p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50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(14.3)</w:t>
            </w:r>
          </w:p>
        </w:tc>
        <w:tc>
          <w:tcPr>
            <w:tcW w:w="85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11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(9.09)</w:t>
            </w:r>
          </w:p>
        </w:tc>
        <w:tc>
          <w:tcPr>
            <w:tcW w:w="992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(0.641)</w:t>
            </w:r>
          </w:p>
        </w:tc>
        <w:tc>
          <w:tcPr>
            <w:tcW w:w="980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(22.2)</w:t>
            </w:r>
          </w:p>
        </w:tc>
        <w:tc>
          <w:tcPr>
            <w:tcW w:w="98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(0.265)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12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(16.7)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18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(0.485)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(11.1)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(11.1)</w:t>
            </w:r>
          </w:p>
        </w:tc>
        <w:tc>
          <w:tcPr>
            <w:tcW w:w="1276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(0.765)</w:t>
            </w:r>
          </w:p>
        </w:tc>
      </w:tr>
      <w:tr w:rsidR="008450FD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Distant metastasis (n)</w:t>
            </w:r>
          </w:p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50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5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11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992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980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98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12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18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276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</w:tr>
      <w:tr w:rsidR="008450FD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Lymphocytic thyroiditis (n)</w:t>
            </w:r>
          </w:p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50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(14.3)</w:t>
            </w:r>
          </w:p>
        </w:tc>
        <w:tc>
          <w:tcPr>
            <w:tcW w:w="85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12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 (50.0)</w:t>
            </w:r>
          </w:p>
        </w:tc>
        <w:tc>
          <w:tcPr>
            <w:tcW w:w="992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(0.144)</w:t>
            </w:r>
          </w:p>
        </w:tc>
        <w:tc>
          <w:tcPr>
            <w:tcW w:w="980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(50.0)</w:t>
            </w:r>
          </w:p>
        </w:tc>
        <w:tc>
          <w:tcPr>
            <w:tcW w:w="864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(30.0)</w:t>
            </w:r>
          </w:p>
        </w:tc>
        <w:tc>
          <w:tcPr>
            <w:tcW w:w="98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(0.352)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13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 (46.2)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(20.0)</w:t>
            </w:r>
          </w:p>
        </w:tc>
        <w:tc>
          <w:tcPr>
            <w:tcW w:w="118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(0.324)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(33.3)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(40.0)</w:t>
            </w:r>
          </w:p>
        </w:tc>
        <w:tc>
          <w:tcPr>
            <w:tcW w:w="1276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(0.570)</w:t>
            </w:r>
          </w:p>
        </w:tc>
      </w:tr>
      <w:tr w:rsidR="008450FD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Oncocytic (n)</w:t>
            </w:r>
          </w:p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50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5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11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992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980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98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12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18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276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</w:tr>
      <w:tr w:rsidR="008450FD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>PAX8-PPARG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rearrangements (n)</w:t>
            </w:r>
          </w:p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50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5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12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992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980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11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98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14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18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276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</w:tr>
      <w:tr w:rsidR="008450FD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>RET/PTC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rearrangements (n)</w:t>
            </w:r>
          </w:p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50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5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12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(16.7)</w:t>
            </w:r>
          </w:p>
        </w:tc>
        <w:tc>
          <w:tcPr>
            <w:tcW w:w="992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(0.347)</w:t>
            </w:r>
          </w:p>
        </w:tc>
        <w:tc>
          <w:tcPr>
            <w:tcW w:w="980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11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(18.2)</w:t>
            </w:r>
          </w:p>
        </w:tc>
        <w:tc>
          <w:tcPr>
            <w:tcW w:w="98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(0.322)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14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(7.14)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(20.0)</w:t>
            </w:r>
          </w:p>
        </w:tc>
        <w:tc>
          <w:tcPr>
            <w:tcW w:w="118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(0.468)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(20.0)</w:t>
            </w:r>
          </w:p>
        </w:tc>
        <w:tc>
          <w:tcPr>
            <w:tcW w:w="1276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(0.237)</w:t>
            </w:r>
          </w:p>
        </w:tc>
      </w:tr>
      <w:tr w:rsidR="008450FD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 xml:space="preserve">   RET/PTC1 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rearrangement (n)</w:t>
            </w:r>
          </w:p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50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5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12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(8.33)</w:t>
            </w:r>
          </w:p>
        </w:tc>
        <w:tc>
          <w:tcPr>
            <w:tcW w:w="992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(0.600)</w:t>
            </w:r>
          </w:p>
        </w:tc>
        <w:tc>
          <w:tcPr>
            <w:tcW w:w="980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11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(9.09)</w:t>
            </w:r>
          </w:p>
        </w:tc>
        <w:tc>
          <w:tcPr>
            <w:tcW w:w="98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(0.579)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14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(7.14)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18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(0.737)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(10.0)</w:t>
            </w:r>
          </w:p>
        </w:tc>
        <w:tc>
          <w:tcPr>
            <w:tcW w:w="1276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(0.500)</w:t>
            </w:r>
          </w:p>
        </w:tc>
      </w:tr>
      <w:tr w:rsidR="008450FD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 xml:space="preserve">   RET/PTC3 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rearrangement (n)</w:t>
            </w:r>
          </w:p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50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5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12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992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980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11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98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14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18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276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</w:tr>
      <w:tr w:rsidR="008450FD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>BRAF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mutation (n)</w:t>
            </w:r>
          </w:p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i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50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5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12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(16.7)</w:t>
            </w:r>
          </w:p>
        </w:tc>
        <w:tc>
          <w:tcPr>
            <w:tcW w:w="992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(0.347)</w:t>
            </w:r>
          </w:p>
        </w:tc>
        <w:tc>
          <w:tcPr>
            <w:tcW w:w="980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11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(18.2)</w:t>
            </w:r>
          </w:p>
        </w:tc>
        <w:tc>
          <w:tcPr>
            <w:tcW w:w="98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(0.322)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14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(14.3)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18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(0.532)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(10.0)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(10.0)</w:t>
            </w:r>
          </w:p>
        </w:tc>
        <w:tc>
          <w:tcPr>
            <w:tcW w:w="1276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(0.763)</w:t>
            </w:r>
          </w:p>
        </w:tc>
      </w:tr>
      <w:tr w:rsidR="008450FD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>NRAS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mutation (n)</w:t>
            </w:r>
          </w:p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50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(50.0)</w:t>
            </w:r>
          </w:p>
        </w:tc>
        <w:tc>
          <w:tcPr>
            <w:tcW w:w="85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12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992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0.014</w:t>
            </w:r>
          </w:p>
        </w:tc>
        <w:tc>
          <w:tcPr>
            <w:tcW w:w="980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(37.5)</w:t>
            </w:r>
          </w:p>
        </w:tc>
        <w:tc>
          <w:tcPr>
            <w:tcW w:w="864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11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(9.09)</w:t>
            </w:r>
          </w:p>
        </w:tc>
        <w:tc>
          <w:tcPr>
            <w:tcW w:w="98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(0.177)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14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(21.4)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18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(0.376)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(40.0)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</w:t>
            </w:r>
          </w:p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276" w:type="dxa"/>
          </w:tcPr>
          <w:p w:rsidR="008450FD" w:rsidRPr="008C7A75" w:rsidRDefault="008450FD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0.043</w:t>
            </w:r>
          </w:p>
        </w:tc>
      </w:tr>
      <w:tr w:rsidR="008450FD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>TERT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promoter mutation (n)</w:t>
            </w:r>
          </w:p>
          <w:p w:rsidR="008450FD" w:rsidRPr="008C7A75" w:rsidRDefault="008450FD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lastRenderedPageBreak/>
              <w:t xml:space="preserve">   Positive (%)</w:t>
            </w:r>
          </w:p>
        </w:tc>
        <w:tc>
          <w:tcPr>
            <w:tcW w:w="850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lastRenderedPageBreak/>
              <w:t>8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lastRenderedPageBreak/>
              <w:t>-</w:t>
            </w:r>
          </w:p>
        </w:tc>
        <w:tc>
          <w:tcPr>
            <w:tcW w:w="85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lastRenderedPageBreak/>
              <w:t>12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lastRenderedPageBreak/>
              <w:t>1 (8.33)</w:t>
            </w:r>
          </w:p>
        </w:tc>
        <w:tc>
          <w:tcPr>
            <w:tcW w:w="992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lastRenderedPageBreak/>
              <w:t>NS (0.600)</w:t>
            </w:r>
          </w:p>
        </w:tc>
        <w:tc>
          <w:tcPr>
            <w:tcW w:w="980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lastRenderedPageBreak/>
              <w:t>-</w:t>
            </w:r>
          </w:p>
        </w:tc>
        <w:tc>
          <w:tcPr>
            <w:tcW w:w="864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lastRenderedPageBreak/>
              <w:t>11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lastRenderedPageBreak/>
              <w:t>1 (9.09)</w:t>
            </w:r>
          </w:p>
        </w:tc>
        <w:tc>
          <w:tcPr>
            <w:tcW w:w="98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lastRenderedPageBreak/>
              <w:t>NS (0.579)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14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lastRenderedPageBreak/>
              <w:t>1 (7.14)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lastRenderedPageBreak/>
              <w:t>5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lastRenderedPageBreak/>
              <w:t>-</w:t>
            </w:r>
          </w:p>
        </w:tc>
        <w:tc>
          <w:tcPr>
            <w:tcW w:w="118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lastRenderedPageBreak/>
              <w:t>NS (0.737)</w:t>
            </w:r>
          </w:p>
        </w:tc>
        <w:tc>
          <w:tcPr>
            <w:tcW w:w="871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lastRenderedPageBreak/>
              <w:t>-</w:t>
            </w:r>
          </w:p>
        </w:tc>
        <w:tc>
          <w:tcPr>
            <w:tcW w:w="918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lastRenderedPageBreak/>
              <w:t>10</w:t>
            </w:r>
          </w:p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lastRenderedPageBreak/>
              <w:t>1 (10.0)</w:t>
            </w:r>
          </w:p>
        </w:tc>
        <w:tc>
          <w:tcPr>
            <w:tcW w:w="1276" w:type="dxa"/>
          </w:tcPr>
          <w:p w:rsidR="008450FD" w:rsidRPr="008C7A75" w:rsidRDefault="008450FD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lastRenderedPageBreak/>
              <w:t>NS (0.500)</w:t>
            </w:r>
          </w:p>
        </w:tc>
      </w:tr>
    </w:tbl>
    <w:p w:rsidR="008450FD" w:rsidRPr="008C7A75" w:rsidRDefault="008450FD" w:rsidP="008450FD">
      <w:pPr>
        <w:spacing w:after="20" w:line="240" w:lineRule="auto"/>
        <w:rPr>
          <w:rFonts w:eastAsia="Calibri" w:cs="Times New Roman"/>
          <w:sz w:val="18"/>
          <w:szCs w:val="18"/>
          <w:lang w:val="en-GB"/>
        </w:rPr>
      </w:pPr>
      <w:r w:rsidRPr="008C7A75">
        <w:rPr>
          <w:rFonts w:eastAsia="Calibri" w:cs="Times New Roman"/>
          <w:sz w:val="18"/>
          <w:szCs w:val="18"/>
          <w:lang w:val="en-GB"/>
        </w:rPr>
        <w:t>n, number of cases with available data; 1, no statistics were computed due to constant numbers of one feature.</w:t>
      </w:r>
    </w:p>
    <w:p w:rsidR="008450FD" w:rsidRPr="008C7A75" w:rsidRDefault="008450FD" w:rsidP="008450FD">
      <w:pPr>
        <w:spacing w:line="276" w:lineRule="auto"/>
        <w:jc w:val="left"/>
        <w:rPr>
          <w:rFonts w:eastAsia="Calibri" w:cs="Times New Roman"/>
          <w:lang w:val="en-GB"/>
        </w:rPr>
      </w:pPr>
    </w:p>
    <w:p w:rsidR="004A5983" w:rsidRPr="008450FD" w:rsidRDefault="004A5983">
      <w:pPr>
        <w:rPr>
          <w:lang w:val="en-GB"/>
        </w:rPr>
      </w:pPr>
    </w:p>
    <w:sectPr w:rsidR="004A5983" w:rsidRPr="008450FD" w:rsidSect="008450FD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0FD"/>
    <w:rsid w:val="004A5983"/>
    <w:rsid w:val="008450FD"/>
    <w:rsid w:val="00F1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0F464"/>
  <w15:chartTrackingRefBased/>
  <w15:docId w15:val="{5D781D3C-87E3-46A8-9D0D-CE49958C9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50FD"/>
    <w:pPr>
      <w:spacing w:after="200" w:line="360" w:lineRule="auto"/>
      <w:jc w:val="both"/>
    </w:pPr>
    <w:rPr>
      <w:rFonts w:ascii="Times New Roman" w:hAnsi="Times New Roman"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LightShading11">
    <w:name w:val="Light Shading11"/>
    <w:basedOn w:val="Tabelanormal"/>
    <w:uiPriority w:val="60"/>
    <w:rsid w:val="008450FD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Porto</Company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Celestino</dc:creator>
  <cp:keywords/>
  <dc:description/>
  <cp:lastModifiedBy>Ricardo Celestino</cp:lastModifiedBy>
  <cp:revision>2</cp:revision>
  <dcterms:created xsi:type="dcterms:W3CDTF">2016-09-13T21:35:00Z</dcterms:created>
  <dcterms:modified xsi:type="dcterms:W3CDTF">2016-09-13T21:49:00Z</dcterms:modified>
</cp:coreProperties>
</file>