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A19" w:rsidRPr="003E7AC3" w:rsidRDefault="000B2A19" w:rsidP="000B2A19">
      <w:pPr>
        <w:spacing w:after="0" w:line="480" w:lineRule="auto"/>
        <w:jc w:val="left"/>
        <w:rPr>
          <w:szCs w:val="24"/>
          <w:lang w:val="en-GB"/>
        </w:rPr>
      </w:pPr>
      <w:bookmarkStart w:id="0" w:name="_GoBack"/>
      <w:proofErr w:type="spellStart"/>
      <w:r w:rsidRPr="003E7AC3">
        <w:rPr>
          <w:b/>
          <w:szCs w:val="24"/>
          <w:lang w:val="en-GB"/>
        </w:rPr>
        <w:t>Clinicopathological</w:t>
      </w:r>
      <w:proofErr w:type="spellEnd"/>
      <w:r w:rsidRPr="003E7AC3">
        <w:rPr>
          <w:b/>
          <w:szCs w:val="24"/>
          <w:lang w:val="en-GB"/>
        </w:rPr>
        <w:t xml:space="preserve"> features and genetic alterations of the differentiated thyroid carcinoma (DTC) series</w:t>
      </w:r>
    </w:p>
    <w:bookmarkEnd w:id="0"/>
    <w:p w:rsidR="000B2A19" w:rsidRPr="008C7A75" w:rsidRDefault="000B2A19" w:rsidP="000B2A19">
      <w:pPr>
        <w:spacing w:after="0" w:line="480" w:lineRule="auto"/>
        <w:rPr>
          <w:sz w:val="22"/>
          <w:lang w:val="en-GB"/>
        </w:rPr>
      </w:pPr>
      <w:r w:rsidRPr="008C7A75">
        <w:rPr>
          <w:sz w:val="22"/>
          <w:lang w:val="en-GB"/>
        </w:rPr>
        <w:tab/>
        <w:t xml:space="preserve">In the series of 98 </w:t>
      </w:r>
      <w:r w:rsidRPr="00AB711A">
        <w:rPr>
          <w:sz w:val="22"/>
          <w:lang w:val="en-GB"/>
        </w:rPr>
        <w:t>d</w:t>
      </w:r>
      <w:r>
        <w:rPr>
          <w:sz w:val="22"/>
          <w:lang w:val="en-GB"/>
        </w:rPr>
        <w:t>ifferentiated thyroid carcinomas</w:t>
      </w:r>
      <w:r w:rsidRPr="00AB711A">
        <w:rPr>
          <w:sz w:val="22"/>
          <w:lang w:val="en-GB"/>
        </w:rPr>
        <w:t xml:space="preserve"> </w:t>
      </w:r>
      <w:r>
        <w:rPr>
          <w:sz w:val="22"/>
          <w:lang w:val="en-GB"/>
        </w:rPr>
        <w:t>(</w:t>
      </w:r>
      <w:r w:rsidRPr="008C7A75">
        <w:rPr>
          <w:sz w:val="22"/>
          <w:lang w:val="en-GB"/>
        </w:rPr>
        <w:t>DTC</w:t>
      </w:r>
      <w:r>
        <w:rPr>
          <w:sz w:val="22"/>
          <w:lang w:val="en-GB"/>
        </w:rPr>
        <w:t xml:space="preserve">; </w:t>
      </w:r>
      <w:r w:rsidRPr="008C7A75">
        <w:rPr>
          <w:sz w:val="22"/>
          <w:lang w:val="en-GB"/>
        </w:rPr>
        <w:t xml:space="preserve">Table 1), the mean age of the patients was 43 ± 1.6 years, and the mean size of the tumours was 2.8 </w:t>
      </w:r>
      <w:r w:rsidRPr="008C7A75">
        <w:rPr>
          <w:rFonts w:cs="Times New Roman"/>
          <w:sz w:val="22"/>
          <w:lang w:val="en-GB"/>
        </w:rPr>
        <w:t xml:space="preserve">± </w:t>
      </w:r>
      <w:r w:rsidRPr="008C7A75">
        <w:rPr>
          <w:sz w:val="22"/>
          <w:lang w:val="en-GB"/>
        </w:rPr>
        <w:t xml:space="preserve">0.18 cm. Patients with FTC (53 ± 3.9 years) were significantly older than patients with PTC (40 ± 2.1 years;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0.021). FTC (3.9 ± 0.46 cm) were significantly larger than FVPTC (2.4 ±0.30 cm;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0.022) and PTC (2.7 ± 0.24 cm;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0.034). The female/male gender ratio of the patients was 6:1. Forty-five DTC (45/88, 51%) had capsule, whereas capsular invasion occurred in 27 DTC (27/42, 64%). Vascular invasion occurred in 48 DTC (48/89, 54%), whereas FVPTC (5/21, 24%) had significantly less vascular invasion than FTC (11/15, 73%;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0.004) and PTC (32/53, 60%;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0.004). Lymph node metastases were present in 24 patients (24/93, 26%), presenting FVPTC (4/21, 19%) and PTC (20/57, 35%). </w:t>
      </w:r>
      <w:proofErr w:type="spellStart"/>
      <w:r w:rsidRPr="008C7A75">
        <w:rPr>
          <w:sz w:val="22"/>
          <w:lang w:val="en-GB"/>
        </w:rPr>
        <w:t>Extrathyroidal</w:t>
      </w:r>
      <w:proofErr w:type="spellEnd"/>
      <w:r w:rsidRPr="008C7A75">
        <w:rPr>
          <w:sz w:val="22"/>
          <w:lang w:val="en-GB"/>
        </w:rPr>
        <w:t xml:space="preserve"> extension was present in 27 DTC (27/88, 31%), occurring significantly more often in PTC (24/52, 46%) than in FTC (1/15, 7%;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0.004) and FVPTC (2/21, 10%;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0.002). Distant metastases were detected in five patients (5/93, 5%), one with a FTC (1/15, 7%), and four patients with PTC (4/57, 7%). Lymphocytic thyroiditis was detected in 40 patients (40/91, 44%), occurring in FCT (4/15, 27%), FVPTC (8/22, 37%) and PTC (28/54, 52%). </w:t>
      </w:r>
      <w:proofErr w:type="spellStart"/>
      <w:r w:rsidRPr="008C7A75">
        <w:rPr>
          <w:sz w:val="22"/>
          <w:lang w:val="en-GB"/>
        </w:rPr>
        <w:t>Oncocytic</w:t>
      </w:r>
      <w:proofErr w:type="spellEnd"/>
      <w:r w:rsidRPr="008C7A75">
        <w:rPr>
          <w:sz w:val="22"/>
          <w:lang w:val="en-GB"/>
        </w:rPr>
        <w:t xml:space="preserve"> pattern was present in 17 DTC (17/89, 19%): six FTC (6/15, 40%) and eleven PTC (11/53, 21%).</w:t>
      </w:r>
    </w:p>
    <w:p w:rsidR="000B2A19" w:rsidRPr="008C7A75" w:rsidRDefault="000B2A19" w:rsidP="000B2A19">
      <w:pPr>
        <w:spacing w:after="0" w:line="480" w:lineRule="auto"/>
        <w:rPr>
          <w:sz w:val="22"/>
          <w:lang w:val="en-GB"/>
        </w:rPr>
      </w:pPr>
      <w:r w:rsidRPr="008C7A75">
        <w:rPr>
          <w:sz w:val="22"/>
          <w:lang w:val="en-GB"/>
        </w:rPr>
        <w:tab/>
      </w:r>
      <w:r w:rsidRPr="008C7A75">
        <w:rPr>
          <w:i/>
          <w:sz w:val="22"/>
          <w:lang w:val="en-GB"/>
        </w:rPr>
        <w:t xml:space="preserve">PAX8-PPARG </w:t>
      </w:r>
      <w:r w:rsidRPr="008C7A75">
        <w:rPr>
          <w:sz w:val="22"/>
          <w:lang w:val="en-GB"/>
        </w:rPr>
        <w:t>rearrangements</w:t>
      </w:r>
      <w:r w:rsidRPr="008C7A75">
        <w:rPr>
          <w:i/>
          <w:sz w:val="22"/>
          <w:lang w:val="en-GB"/>
        </w:rPr>
        <w:t xml:space="preserve"> </w:t>
      </w:r>
      <w:r w:rsidRPr="008C7A75">
        <w:rPr>
          <w:sz w:val="22"/>
          <w:lang w:val="en-GB"/>
        </w:rPr>
        <w:t xml:space="preserve">were detected in FTC (1/15, 7%) and FVPTC (1/23, 4%), and </w:t>
      </w:r>
      <w:r w:rsidRPr="008C7A75">
        <w:rPr>
          <w:i/>
          <w:sz w:val="22"/>
          <w:lang w:val="en-GB"/>
        </w:rPr>
        <w:t>RET/PTC</w:t>
      </w:r>
      <w:r w:rsidRPr="008C7A75">
        <w:rPr>
          <w:sz w:val="22"/>
          <w:lang w:val="en-GB"/>
        </w:rPr>
        <w:t xml:space="preserve"> rearrangements were detected in FTC (1/15, 7%), FVPTC (3/23, 13%) and PTC (16/60, 22%). </w:t>
      </w:r>
      <w:r w:rsidRPr="008C7A75">
        <w:rPr>
          <w:i/>
          <w:sz w:val="22"/>
          <w:lang w:val="en-GB"/>
        </w:rPr>
        <w:t>BRAF</w:t>
      </w:r>
      <w:r w:rsidRPr="008C7A75">
        <w:rPr>
          <w:sz w:val="22"/>
          <w:lang w:val="en-GB"/>
        </w:rPr>
        <w:t xml:space="preserve"> mutations were significantly more common in PTC (19/60, 32%) than in FVPTC (2/23, 9%;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0.025), and </w:t>
      </w:r>
      <w:r w:rsidRPr="008C7A75">
        <w:rPr>
          <w:i/>
          <w:sz w:val="22"/>
          <w:lang w:val="en-GB"/>
        </w:rPr>
        <w:t>NRAS</w:t>
      </w:r>
      <w:r w:rsidRPr="008C7A75">
        <w:rPr>
          <w:sz w:val="22"/>
          <w:lang w:val="en-GB"/>
        </w:rPr>
        <w:t xml:space="preserve"> mutations were significantly more frequent in FTC (5/15; 33%) than in PTC (6/60; 10%;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0.037). </w:t>
      </w:r>
    </w:p>
    <w:p w:rsidR="004F16A8" w:rsidRPr="000B2A19" w:rsidRDefault="000B2A19" w:rsidP="000B2A19">
      <w:pPr>
        <w:spacing w:after="0" w:line="480" w:lineRule="auto"/>
        <w:rPr>
          <w:lang w:val="en-GB"/>
        </w:rPr>
      </w:pPr>
      <w:r w:rsidRPr="008C7A75">
        <w:rPr>
          <w:sz w:val="22"/>
          <w:lang w:val="en-GB"/>
        </w:rPr>
        <w:tab/>
        <w:t xml:space="preserve">Patients with DTC positive for the </w:t>
      </w:r>
      <w:r w:rsidRPr="008C7A75">
        <w:rPr>
          <w:i/>
          <w:sz w:val="22"/>
          <w:lang w:val="en-GB"/>
        </w:rPr>
        <w:t>RET/PTC</w:t>
      </w:r>
      <w:r w:rsidRPr="008C7A75">
        <w:rPr>
          <w:sz w:val="22"/>
          <w:lang w:val="en-GB"/>
        </w:rPr>
        <w:t xml:space="preserve"> rearrangement</w:t>
      </w:r>
      <w:r w:rsidRPr="008C7A75">
        <w:rPr>
          <w:rFonts w:cs="Times New Roman"/>
          <w:sz w:val="22"/>
          <w:lang w:val="en-GB"/>
        </w:rPr>
        <w:t xml:space="preserve"> </w:t>
      </w:r>
      <w:r w:rsidRPr="008C7A75">
        <w:rPr>
          <w:sz w:val="22"/>
          <w:lang w:val="en-GB"/>
        </w:rPr>
        <w:t xml:space="preserve">were significantly younger (35 </w:t>
      </w:r>
      <w:r w:rsidRPr="008C7A75">
        <w:rPr>
          <w:rFonts w:cs="Times New Roman"/>
          <w:sz w:val="22"/>
          <w:lang w:val="en-GB"/>
        </w:rPr>
        <w:t>± 4.0 years)</w:t>
      </w:r>
      <w:r w:rsidRPr="008C7A75">
        <w:rPr>
          <w:sz w:val="22"/>
          <w:lang w:val="en-GB"/>
        </w:rPr>
        <w:t xml:space="preserve"> than patients with DTC negative for the </w:t>
      </w:r>
      <w:r w:rsidRPr="008C7A75">
        <w:rPr>
          <w:i/>
          <w:sz w:val="22"/>
          <w:lang w:val="en-GB"/>
        </w:rPr>
        <w:t>RET/PTC</w:t>
      </w:r>
      <w:r w:rsidRPr="008C7A75">
        <w:rPr>
          <w:sz w:val="22"/>
          <w:lang w:val="en-GB"/>
        </w:rPr>
        <w:t xml:space="preserve"> (44 </w:t>
      </w:r>
      <w:r w:rsidRPr="008C7A75">
        <w:rPr>
          <w:rFonts w:cs="Times New Roman"/>
          <w:sz w:val="22"/>
          <w:lang w:val="en-GB"/>
        </w:rPr>
        <w:t xml:space="preserve">± 1.7 years; </w:t>
      </w:r>
      <w:r w:rsidRPr="008C7A75">
        <w:rPr>
          <w:rFonts w:cs="Times New Roman"/>
          <w:i/>
          <w:sz w:val="22"/>
          <w:lang w:val="en-GB"/>
        </w:rPr>
        <w:t>P</w:t>
      </w:r>
      <w:r w:rsidRPr="008C7A75">
        <w:rPr>
          <w:rFonts w:cs="Times New Roman"/>
          <w:sz w:val="22"/>
          <w:lang w:val="en-GB"/>
        </w:rPr>
        <w:t xml:space="preserve"> = 0.020)</w:t>
      </w:r>
      <w:r w:rsidRPr="008C7A75">
        <w:rPr>
          <w:sz w:val="22"/>
          <w:lang w:val="en-GB"/>
        </w:rPr>
        <w:t xml:space="preserve">. Despite the reduced number of </w:t>
      </w:r>
      <w:r w:rsidRPr="008C7A75">
        <w:rPr>
          <w:i/>
          <w:sz w:val="22"/>
          <w:lang w:val="en-GB"/>
        </w:rPr>
        <w:t>TERT</w:t>
      </w:r>
      <w:r w:rsidRPr="008C7A75">
        <w:rPr>
          <w:sz w:val="22"/>
          <w:lang w:val="en-GB"/>
        </w:rPr>
        <w:t xml:space="preserve"> promoter mutations (n = 3) in this series, patients with DTC positive for the mutations were significantly older (72 </w:t>
      </w:r>
      <w:r w:rsidRPr="008C7A75">
        <w:rPr>
          <w:rFonts w:cs="Times New Roman"/>
          <w:sz w:val="22"/>
          <w:lang w:val="en-GB"/>
        </w:rPr>
        <w:t xml:space="preserve">± 5.5 years) </w:t>
      </w:r>
      <w:r w:rsidRPr="008C7A75">
        <w:rPr>
          <w:sz w:val="22"/>
          <w:lang w:val="en-GB"/>
        </w:rPr>
        <w:t xml:space="preserve">than patients with tumour </w:t>
      </w:r>
      <w:r w:rsidRPr="008C7A75">
        <w:rPr>
          <w:sz w:val="22"/>
          <w:lang w:val="en-GB"/>
        </w:rPr>
        <w:lastRenderedPageBreak/>
        <w:t xml:space="preserve">without </w:t>
      </w:r>
      <w:r w:rsidRPr="008C7A75">
        <w:rPr>
          <w:i/>
          <w:sz w:val="22"/>
          <w:lang w:val="en-GB"/>
        </w:rPr>
        <w:t>TERT</w:t>
      </w:r>
      <w:r w:rsidRPr="008C7A75">
        <w:rPr>
          <w:sz w:val="22"/>
          <w:lang w:val="en-GB"/>
        </w:rPr>
        <w:t xml:space="preserve"> promoter mutations (42 </w:t>
      </w:r>
      <w:r w:rsidRPr="008C7A75">
        <w:rPr>
          <w:rFonts w:cs="Times New Roman"/>
          <w:sz w:val="22"/>
          <w:lang w:val="en-GB"/>
        </w:rPr>
        <w:t xml:space="preserve">± 1.6 years; </w:t>
      </w:r>
      <w:r w:rsidRPr="008C7A75">
        <w:rPr>
          <w:i/>
          <w:sz w:val="22"/>
          <w:lang w:val="en-GB"/>
        </w:rPr>
        <w:t>P</w:t>
      </w:r>
      <w:r w:rsidRPr="008C7A75">
        <w:rPr>
          <w:sz w:val="22"/>
          <w:lang w:val="en-GB"/>
        </w:rPr>
        <w:t xml:space="preserve"> = 0.001). Additionally, tumours with </w:t>
      </w:r>
      <w:r w:rsidRPr="008C7A75">
        <w:rPr>
          <w:i/>
          <w:sz w:val="22"/>
          <w:lang w:val="en-GB"/>
        </w:rPr>
        <w:t>TERT</w:t>
      </w:r>
      <w:r w:rsidRPr="008C7A75">
        <w:rPr>
          <w:sz w:val="22"/>
          <w:lang w:val="en-GB"/>
        </w:rPr>
        <w:t xml:space="preserve"> promoter mutations are larger (4.9 </w:t>
      </w:r>
      <w:r w:rsidRPr="008C7A75">
        <w:rPr>
          <w:rFonts w:cs="Times New Roman"/>
          <w:sz w:val="22"/>
          <w:lang w:val="en-GB"/>
        </w:rPr>
        <w:t>± 1.6 cm)</w:t>
      </w:r>
      <w:r w:rsidRPr="008C7A75">
        <w:rPr>
          <w:sz w:val="22"/>
          <w:lang w:val="en-GB"/>
        </w:rPr>
        <w:t xml:space="preserve"> than the tumours without mutations (2.7 </w:t>
      </w:r>
      <w:r w:rsidRPr="008C7A75">
        <w:rPr>
          <w:rFonts w:cs="Times New Roman"/>
          <w:sz w:val="22"/>
          <w:lang w:val="en-GB"/>
        </w:rPr>
        <w:t xml:space="preserve">± 0.18 cm; </w:t>
      </w:r>
      <w:r w:rsidRPr="008C7A75">
        <w:rPr>
          <w:rFonts w:cs="Times New Roman"/>
          <w:i/>
          <w:sz w:val="22"/>
          <w:lang w:val="en-GB"/>
        </w:rPr>
        <w:t>P</w:t>
      </w:r>
      <w:r w:rsidRPr="008C7A75">
        <w:rPr>
          <w:rFonts w:cs="Times New Roman"/>
          <w:sz w:val="22"/>
          <w:lang w:val="en-GB"/>
        </w:rPr>
        <w:t xml:space="preserve"> = 0.032)</w:t>
      </w:r>
      <w:r w:rsidRPr="008C7A75">
        <w:rPr>
          <w:sz w:val="22"/>
          <w:lang w:val="en-GB"/>
        </w:rPr>
        <w:t>.</w:t>
      </w:r>
    </w:p>
    <w:sectPr w:rsidR="004F16A8" w:rsidRPr="000B2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A19"/>
    <w:rsid w:val="000B2A19"/>
    <w:rsid w:val="003E7AC3"/>
    <w:rsid w:val="004F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DF860-3451-47E6-AD2A-FCB8C45F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A19"/>
    <w:pPr>
      <w:spacing w:after="200" w:line="360" w:lineRule="auto"/>
      <w:jc w:val="both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Celestino</dc:creator>
  <cp:keywords/>
  <dc:description/>
  <cp:lastModifiedBy>Ricardo Celestino</cp:lastModifiedBy>
  <cp:revision>2</cp:revision>
  <dcterms:created xsi:type="dcterms:W3CDTF">2016-09-13T19:56:00Z</dcterms:created>
  <dcterms:modified xsi:type="dcterms:W3CDTF">2016-09-13T21:00:00Z</dcterms:modified>
</cp:coreProperties>
</file>