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E29" w:rsidRPr="003250C8" w:rsidRDefault="00B82E29" w:rsidP="00B82E29">
      <w:pPr>
        <w:rPr>
          <w:rFonts w:ascii="Arial" w:hAnsi="Arial" w:cs="Arial"/>
          <w:b/>
        </w:rPr>
      </w:pPr>
      <w:r w:rsidRPr="003250C8">
        <w:rPr>
          <w:rFonts w:ascii="Arial" w:hAnsi="Arial" w:cs="Arial"/>
          <w:b/>
        </w:rPr>
        <w:t>Table S3. Grade 3 and 4 adverse events</w:t>
      </w:r>
      <w:r w:rsidRPr="0061601C">
        <w:rPr>
          <w:rFonts w:ascii="Arial" w:hAnsi="Arial" w:cs="Arial"/>
          <w:vertAlign w:val="superscript"/>
        </w:rPr>
        <w:t>†</w:t>
      </w:r>
      <w:r w:rsidRPr="003250C8">
        <w:rPr>
          <w:rFonts w:ascii="Arial" w:hAnsi="Arial" w:cs="Arial"/>
          <w:b/>
        </w:rPr>
        <w:t xml:space="preserve"> </w:t>
      </w:r>
    </w:p>
    <w:tbl>
      <w:tblPr>
        <w:tblW w:w="5746" w:type="pct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6"/>
        <w:gridCol w:w="946"/>
        <w:gridCol w:w="963"/>
        <w:gridCol w:w="1092"/>
        <w:gridCol w:w="1004"/>
        <w:gridCol w:w="1182"/>
        <w:gridCol w:w="1186"/>
        <w:gridCol w:w="1092"/>
        <w:gridCol w:w="1274"/>
      </w:tblGrid>
      <w:tr w:rsidR="00B82E29" w:rsidRPr="003250C8" w:rsidTr="002223E1">
        <w:tc>
          <w:tcPr>
            <w:tcW w:w="933" w:type="pct"/>
            <w:vMerge w:val="restart"/>
            <w:shd w:val="pct25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</w:p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888" w:type="pct"/>
            <w:gridSpan w:val="2"/>
            <w:vMerge w:val="restart"/>
            <w:shd w:val="pct25" w:color="auto" w:fill="auto"/>
            <w:vAlign w:val="bottom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vertAlign w:val="superscript"/>
              </w:rPr>
            </w:pPr>
            <w:r w:rsidRPr="0061601C">
              <w:rPr>
                <w:rFonts w:ascii="Arial" w:hAnsi="Arial" w:cs="Arial"/>
                <w:b/>
              </w:rPr>
              <w:t>Overall Population</w:t>
            </w:r>
            <w:r w:rsidRPr="0061601C">
              <w:rPr>
                <w:rFonts w:ascii="Arial" w:hAnsi="Arial" w:cs="Arial"/>
                <w:vertAlign w:val="superscript"/>
              </w:rPr>
              <w:t>‡</w:t>
            </w:r>
          </w:p>
        </w:tc>
        <w:tc>
          <w:tcPr>
            <w:tcW w:w="3178" w:type="pct"/>
            <w:gridSpan w:val="6"/>
            <w:shd w:val="pct25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  <w:b/>
              </w:rPr>
              <w:t>Prior Therapy</w:t>
            </w:r>
          </w:p>
        </w:tc>
      </w:tr>
      <w:tr w:rsidR="00B82E29" w:rsidRPr="003250C8" w:rsidTr="002223E1">
        <w:tc>
          <w:tcPr>
            <w:tcW w:w="933" w:type="pct"/>
            <w:vMerge/>
            <w:shd w:val="pct25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888" w:type="pct"/>
            <w:gridSpan w:val="2"/>
            <w:vMerge/>
            <w:shd w:val="pct25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75" w:type="pct"/>
            <w:gridSpan w:val="2"/>
            <w:shd w:val="pct25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</w:rPr>
            </w:pPr>
            <w:r w:rsidRPr="0061601C">
              <w:rPr>
                <w:rFonts w:ascii="Arial" w:hAnsi="Arial" w:cs="Arial"/>
                <w:b/>
              </w:rPr>
              <w:t>Sunitinib</w:t>
            </w:r>
          </w:p>
        </w:tc>
        <w:tc>
          <w:tcPr>
            <w:tcW w:w="1102" w:type="pct"/>
            <w:gridSpan w:val="2"/>
            <w:shd w:val="pct25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</w:rPr>
            </w:pPr>
            <w:r w:rsidRPr="0061601C">
              <w:rPr>
                <w:rFonts w:ascii="Arial" w:hAnsi="Arial" w:cs="Arial"/>
                <w:b/>
              </w:rPr>
              <w:t>Other Anti-VEGF</w:t>
            </w:r>
          </w:p>
        </w:tc>
        <w:tc>
          <w:tcPr>
            <w:tcW w:w="1101" w:type="pct"/>
            <w:gridSpan w:val="2"/>
            <w:shd w:val="pct25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</w:rPr>
            </w:pPr>
            <w:r w:rsidRPr="0061601C">
              <w:rPr>
                <w:rFonts w:ascii="Arial" w:hAnsi="Arial" w:cs="Arial"/>
                <w:b/>
              </w:rPr>
              <w:t>Cytokines</w:t>
            </w:r>
          </w:p>
        </w:tc>
      </w:tr>
      <w:tr w:rsidR="00B82E29" w:rsidRPr="003250C8" w:rsidTr="002223E1">
        <w:tc>
          <w:tcPr>
            <w:tcW w:w="933" w:type="pct"/>
            <w:shd w:val="pct25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440" w:type="pct"/>
            <w:shd w:val="pct25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</w:rPr>
            </w:pPr>
            <w:r w:rsidRPr="0061601C">
              <w:rPr>
                <w:rFonts w:ascii="Arial" w:hAnsi="Arial" w:cs="Arial"/>
                <w:b/>
              </w:rPr>
              <w:t>Asian</w:t>
            </w:r>
          </w:p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</w:rPr>
            </w:pPr>
          </w:p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</w:rPr>
            </w:pPr>
            <w:r w:rsidRPr="0061601C">
              <w:rPr>
                <w:rFonts w:ascii="Arial" w:hAnsi="Arial" w:cs="Arial"/>
                <w:b/>
                <w:i/>
              </w:rPr>
              <w:t>n</w:t>
            </w:r>
            <w:r w:rsidRPr="0061601C">
              <w:rPr>
                <w:rFonts w:ascii="Arial" w:hAnsi="Arial" w:cs="Arial"/>
                <w:b/>
              </w:rPr>
              <w:t xml:space="preserve"> = 55</w:t>
            </w:r>
          </w:p>
        </w:tc>
        <w:tc>
          <w:tcPr>
            <w:tcW w:w="448" w:type="pct"/>
            <w:shd w:val="pct25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</w:rPr>
            </w:pPr>
            <w:r w:rsidRPr="0061601C">
              <w:rPr>
                <w:rFonts w:ascii="Arial" w:hAnsi="Arial" w:cs="Arial"/>
                <w:b/>
              </w:rPr>
              <w:t>Non-Asian</w:t>
            </w:r>
          </w:p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</w:rPr>
            </w:pPr>
            <w:r w:rsidRPr="0061601C">
              <w:rPr>
                <w:rFonts w:ascii="Arial" w:hAnsi="Arial" w:cs="Arial"/>
                <w:b/>
                <w:i/>
              </w:rPr>
              <w:t>n</w:t>
            </w:r>
            <w:r w:rsidRPr="0061601C">
              <w:rPr>
                <w:rFonts w:ascii="Arial" w:hAnsi="Arial" w:cs="Arial"/>
                <w:b/>
              </w:rPr>
              <w:t xml:space="preserve"> = 78</w:t>
            </w:r>
          </w:p>
        </w:tc>
        <w:tc>
          <w:tcPr>
            <w:tcW w:w="508" w:type="pct"/>
            <w:shd w:val="pct25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</w:rPr>
            </w:pPr>
            <w:r w:rsidRPr="0061601C">
              <w:rPr>
                <w:rFonts w:ascii="Arial" w:hAnsi="Arial" w:cs="Arial"/>
                <w:b/>
              </w:rPr>
              <w:t>Asian</w:t>
            </w:r>
          </w:p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</w:rPr>
            </w:pPr>
          </w:p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</w:rPr>
            </w:pPr>
            <w:r w:rsidRPr="0061601C">
              <w:rPr>
                <w:rFonts w:ascii="Arial" w:hAnsi="Arial" w:cs="Arial"/>
                <w:b/>
                <w:i/>
              </w:rPr>
              <w:t>n</w:t>
            </w:r>
            <w:r w:rsidRPr="0061601C">
              <w:rPr>
                <w:rFonts w:ascii="Arial" w:hAnsi="Arial" w:cs="Arial"/>
                <w:b/>
              </w:rPr>
              <w:t xml:space="preserve"> = 29</w:t>
            </w:r>
          </w:p>
        </w:tc>
        <w:tc>
          <w:tcPr>
            <w:tcW w:w="467" w:type="pct"/>
            <w:shd w:val="pct25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</w:rPr>
            </w:pPr>
            <w:r w:rsidRPr="0061601C">
              <w:rPr>
                <w:rFonts w:ascii="Arial" w:hAnsi="Arial" w:cs="Arial"/>
                <w:b/>
              </w:rPr>
              <w:t>Non-Asian</w:t>
            </w:r>
          </w:p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</w:rPr>
            </w:pPr>
            <w:r w:rsidRPr="0061601C">
              <w:rPr>
                <w:rFonts w:ascii="Arial" w:hAnsi="Arial" w:cs="Arial"/>
                <w:b/>
                <w:i/>
              </w:rPr>
              <w:t>n</w:t>
            </w:r>
            <w:r w:rsidRPr="0061601C">
              <w:rPr>
                <w:rFonts w:ascii="Arial" w:hAnsi="Arial" w:cs="Arial"/>
                <w:b/>
              </w:rPr>
              <w:t xml:space="preserve"> = 29</w:t>
            </w:r>
          </w:p>
        </w:tc>
        <w:tc>
          <w:tcPr>
            <w:tcW w:w="550" w:type="pct"/>
            <w:shd w:val="pct25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</w:rPr>
            </w:pPr>
            <w:r w:rsidRPr="0061601C">
              <w:rPr>
                <w:rFonts w:ascii="Arial" w:hAnsi="Arial" w:cs="Arial"/>
                <w:b/>
              </w:rPr>
              <w:t>Asian</w:t>
            </w:r>
          </w:p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</w:rPr>
            </w:pPr>
          </w:p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</w:rPr>
            </w:pPr>
            <w:r w:rsidRPr="0061601C">
              <w:rPr>
                <w:rFonts w:ascii="Arial" w:hAnsi="Arial" w:cs="Arial"/>
                <w:b/>
                <w:i/>
              </w:rPr>
              <w:t>n</w:t>
            </w:r>
            <w:r w:rsidRPr="0061601C">
              <w:rPr>
                <w:rFonts w:ascii="Arial" w:hAnsi="Arial" w:cs="Arial"/>
                <w:b/>
              </w:rPr>
              <w:t xml:space="preserve"> = 21</w:t>
            </w:r>
          </w:p>
        </w:tc>
        <w:tc>
          <w:tcPr>
            <w:tcW w:w="552" w:type="pct"/>
            <w:shd w:val="pct25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</w:rPr>
            </w:pPr>
            <w:r w:rsidRPr="0061601C">
              <w:rPr>
                <w:rFonts w:ascii="Arial" w:hAnsi="Arial" w:cs="Arial"/>
                <w:b/>
              </w:rPr>
              <w:t>Non-Asian</w:t>
            </w:r>
          </w:p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</w:rPr>
            </w:pPr>
            <w:r w:rsidRPr="0061601C">
              <w:rPr>
                <w:rFonts w:ascii="Arial" w:hAnsi="Arial" w:cs="Arial"/>
                <w:b/>
                <w:i/>
              </w:rPr>
              <w:t>n</w:t>
            </w:r>
            <w:r w:rsidRPr="0061601C">
              <w:rPr>
                <w:rFonts w:ascii="Arial" w:hAnsi="Arial" w:cs="Arial"/>
                <w:b/>
              </w:rPr>
              <w:t xml:space="preserve"> = 40</w:t>
            </w:r>
          </w:p>
        </w:tc>
        <w:tc>
          <w:tcPr>
            <w:tcW w:w="508" w:type="pct"/>
            <w:shd w:val="pct25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</w:rPr>
            </w:pPr>
            <w:r w:rsidRPr="0061601C">
              <w:rPr>
                <w:rFonts w:ascii="Arial" w:hAnsi="Arial" w:cs="Arial"/>
                <w:b/>
              </w:rPr>
              <w:t>Asian</w:t>
            </w:r>
          </w:p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</w:rPr>
            </w:pPr>
          </w:p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</w:rPr>
            </w:pPr>
            <w:r w:rsidRPr="0061601C">
              <w:rPr>
                <w:rFonts w:ascii="Arial" w:hAnsi="Arial" w:cs="Arial"/>
                <w:b/>
                <w:i/>
              </w:rPr>
              <w:t>n</w:t>
            </w:r>
            <w:r w:rsidRPr="0061601C">
              <w:rPr>
                <w:rFonts w:ascii="Arial" w:hAnsi="Arial" w:cs="Arial"/>
                <w:b/>
              </w:rPr>
              <w:t xml:space="preserve"> = 5</w:t>
            </w:r>
          </w:p>
        </w:tc>
        <w:tc>
          <w:tcPr>
            <w:tcW w:w="593" w:type="pct"/>
            <w:shd w:val="pct25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</w:rPr>
            </w:pPr>
            <w:r w:rsidRPr="0061601C">
              <w:rPr>
                <w:rFonts w:ascii="Arial" w:hAnsi="Arial" w:cs="Arial"/>
                <w:b/>
              </w:rPr>
              <w:t>Non-Asian</w:t>
            </w:r>
          </w:p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</w:rPr>
            </w:pPr>
            <w:r w:rsidRPr="0061601C">
              <w:rPr>
                <w:rFonts w:ascii="Arial" w:hAnsi="Arial" w:cs="Arial"/>
                <w:b/>
                <w:i/>
              </w:rPr>
              <w:t>n</w:t>
            </w:r>
            <w:r w:rsidRPr="0061601C">
              <w:rPr>
                <w:rFonts w:ascii="Arial" w:hAnsi="Arial" w:cs="Arial"/>
                <w:b/>
              </w:rPr>
              <w:t xml:space="preserve"> = 9</w:t>
            </w:r>
          </w:p>
        </w:tc>
      </w:tr>
      <w:tr w:rsidR="00B82E29" w:rsidRPr="003250C8" w:rsidTr="002223E1">
        <w:tc>
          <w:tcPr>
            <w:tcW w:w="933" w:type="pct"/>
            <w:shd w:val="clear" w:color="auto" w:fill="auto"/>
          </w:tcPr>
          <w:p w:rsidR="00B82E29" w:rsidRPr="0061601C" w:rsidRDefault="00B82E29" w:rsidP="002223E1">
            <w:pPr>
              <w:spacing w:after="120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 xml:space="preserve">Overall, </w:t>
            </w:r>
            <w:r w:rsidRPr="0061601C">
              <w:rPr>
                <w:rFonts w:ascii="Arial" w:hAnsi="Arial" w:cs="Arial"/>
                <w:i/>
              </w:rPr>
              <w:t>n</w:t>
            </w:r>
            <w:r w:rsidRPr="0061601C">
              <w:rPr>
                <w:rFonts w:ascii="Arial" w:hAnsi="Arial" w:cs="Arial"/>
              </w:rPr>
              <w:t xml:space="preserve"> (%)</w:t>
            </w:r>
          </w:p>
        </w:tc>
        <w:tc>
          <w:tcPr>
            <w:tcW w:w="440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32 (58)</w:t>
            </w:r>
          </w:p>
        </w:tc>
        <w:tc>
          <w:tcPr>
            <w:tcW w:w="448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42 (54)</w:t>
            </w:r>
          </w:p>
        </w:tc>
        <w:tc>
          <w:tcPr>
            <w:tcW w:w="508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17 (59)</w:t>
            </w:r>
          </w:p>
        </w:tc>
        <w:tc>
          <w:tcPr>
            <w:tcW w:w="467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15 (52)</w:t>
            </w:r>
          </w:p>
        </w:tc>
        <w:tc>
          <w:tcPr>
            <w:tcW w:w="550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12 (57)</w:t>
            </w:r>
          </w:p>
        </w:tc>
        <w:tc>
          <w:tcPr>
            <w:tcW w:w="552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20 (50)</w:t>
            </w:r>
          </w:p>
        </w:tc>
        <w:tc>
          <w:tcPr>
            <w:tcW w:w="508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3  (60)</w:t>
            </w:r>
          </w:p>
        </w:tc>
        <w:tc>
          <w:tcPr>
            <w:tcW w:w="593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7 (78)</w:t>
            </w:r>
          </w:p>
        </w:tc>
      </w:tr>
      <w:tr w:rsidR="00B82E29" w:rsidRPr="003250C8" w:rsidTr="002223E1">
        <w:tc>
          <w:tcPr>
            <w:tcW w:w="933" w:type="pct"/>
            <w:shd w:val="clear" w:color="auto" w:fill="auto"/>
          </w:tcPr>
          <w:p w:rsidR="00B82E29" w:rsidRPr="0061601C" w:rsidRDefault="00B82E29" w:rsidP="002223E1">
            <w:pPr>
              <w:spacing w:after="120"/>
              <w:ind w:left="171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Anemia</w:t>
            </w:r>
          </w:p>
        </w:tc>
        <w:tc>
          <w:tcPr>
            <w:tcW w:w="440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4 (7)</w:t>
            </w:r>
          </w:p>
        </w:tc>
        <w:tc>
          <w:tcPr>
            <w:tcW w:w="448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13 (17)</w:t>
            </w:r>
          </w:p>
        </w:tc>
        <w:tc>
          <w:tcPr>
            <w:tcW w:w="508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4 (14)</w:t>
            </w:r>
          </w:p>
        </w:tc>
        <w:tc>
          <w:tcPr>
            <w:tcW w:w="467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2 (7)</w:t>
            </w:r>
          </w:p>
        </w:tc>
        <w:tc>
          <w:tcPr>
            <w:tcW w:w="550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0 (0)</w:t>
            </w:r>
          </w:p>
        </w:tc>
        <w:tc>
          <w:tcPr>
            <w:tcW w:w="552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7 (18)</w:t>
            </w:r>
          </w:p>
        </w:tc>
        <w:tc>
          <w:tcPr>
            <w:tcW w:w="508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0 (0)</w:t>
            </w:r>
          </w:p>
        </w:tc>
        <w:tc>
          <w:tcPr>
            <w:tcW w:w="593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4 (44)</w:t>
            </w:r>
          </w:p>
        </w:tc>
      </w:tr>
      <w:tr w:rsidR="00B82E29" w:rsidRPr="003250C8" w:rsidTr="002223E1">
        <w:tc>
          <w:tcPr>
            <w:tcW w:w="933" w:type="pct"/>
            <w:shd w:val="clear" w:color="auto" w:fill="auto"/>
          </w:tcPr>
          <w:p w:rsidR="00B82E29" w:rsidRPr="0061601C" w:rsidRDefault="00B82E29" w:rsidP="002223E1">
            <w:pPr>
              <w:spacing w:after="120"/>
              <w:ind w:left="171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Decreased hemoglobin level</w:t>
            </w:r>
          </w:p>
        </w:tc>
        <w:tc>
          <w:tcPr>
            <w:tcW w:w="440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3 (6)</w:t>
            </w:r>
          </w:p>
        </w:tc>
        <w:tc>
          <w:tcPr>
            <w:tcW w:w="448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—</w:t>
            </w:r>
          </w:p>
        </w:tc>
        <w:tc>
          <w:tcPr>
            <w:tcW w:w="508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2 (7)</w:t>
            </w:r>
          </w:p>
        </w:tc>
        <w:tc>
          <w:tcPr>
            <w:tcW w:w="467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—</w:t>
            </w:r>
          </w:p>
        </w:tc>
        <w:tc>
          <w:tcPr>
            <w:tcW w:w="550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1(5)</w:t>
            </w:r>
          </w:p>
        </w:tc>
        <w:tc>
          <w:tcPr>
            <w:tcW w:w="552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—</w:t>
            </w:r>
          </w:p>
        </w:tc>
        <w:tc>
          <w:tcPr>
            <w:tcW w:w="508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0 (0)</w:t>
            </w:r>
          </w:p>
        </w:tc>
        <w:tc>
          <w:tcPr>
            <w:tcW w:w="593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—</w:t>
            </w:r>
          </w:p>
        </w:tc>
      </w:tr>
      <w:tr w:rsidR="00B82E29" w:rsidRPr="003250C8" w:rsidTr="002223E1">
        <w:tc>
          <w:tcPr>
            <w:tcW w:w="933" w:type="pct"/>
            <w:shd w:val="clear" w:color="auto" w:fill="auto"/>
          </w:tcPr>
          <w:p w:rsidR="00B82E29" w:rsidRPr="0061601C" w:rsidRDefault="00B82E29" w:rsidP="002223E1">
            <w:pPr>
              <w:spacing w:after="120"/>
              <w:ind w:left="171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Hypertriglyceridemia</w:t>
            </w:r>
          </w:p>
        </w:tc>
        <w:tc>
          <w:tcPr>
            <w:tcW w:w="440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3 (6)</w:t>
            </w:r>
          </w:p>
        </w:tc>
        <w:tc>
          <w:tcPr>
            <w:tcW w:w="448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3 (4)</w:t>
            </w:r>
          </w:p>
        </w:tc>
        <w:tc>
          <w:tcPr>
            <w:tcW w:w="508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3 (10)</w:t>
            </w:r>
          </w:p>
        </w:tc>
        <w:tc>
          <w:tcPr>
            <w:tcW w:w="467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0  (0)</w:t>
            </w:r>
          </w:p>
        </w:tc>
        <w:tc>
          <w:tcPr>
            <w:tcW w:w="550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0 (0)</w:t>
            </w:r>
          </w:p>
        </w:tc>
        <w:tc>
          <w:tcPr>
            <w:tcW w:w="552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3 (8)</w:t>
            </w:r>
          </w:p>
        </w:tc>
        <w:tc>
          <w:tcPr>
            <w:tcW w:w="508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0 (0)</w:t>
            </w:r>
          </w:p>
        </w:tc>
        <w:tc>
          <w:tcPr>
            <w:tcW w:w="593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0 (0)</w:t>
            </w:r>
          </w:p>
        </w:tc>
      </w:tr>
      <w:tr w:rsidR="00B82E29" w:rsidRPr="003250C8" w:rsidTr="002223E1">
        <w:tc>
          <w:tcPr>
            <w:tcW w:w="933" w:type="pct"/>
            <w:shd w:val="clear" w:color="auto" w:fill="auto"/>
          </w:tcPr>
          <w:p w:rsidR="00B82E29" w:rsidRPr="0061601C" w:rsidRDefault="00B82E29" w:rsidP="002223E1">
            <w:pPr>
              <w:spacing w:after="120"/>
              <w:ind w:left="171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Mouth ulceration</w:t>
            </w:r>
          </w:p>
        </w:tc>
        <w:tc>
          <w:tcPr>
            <w:tcW w:w="440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3 (6)</w:t>
            </w:r>
          </w:p>
        </w:tc>
        <w:tc>
          <w:tcPr>
            <w:tcW w:w="448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—</w:t>
            </w:r>
          </w:p>
        </w:tc>
        <w:tc>
          <w:tcPr>
            <w:tcW w:w="508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1 (3)</w:t>
            </w:r>
          </w:p>
        </w:tc>
        <w:tc>
          <w:tcPr>
            <w:tcW w:w="467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—</w:t>
            </w:r>
          </w:p>
        </w:tc>
        <w:tc>
          <w:tcPr>
            <w:tcW w:w="550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2 (10)</w:t>
            </w:r>
          </w:p>
        </w:tc>
        <w:tc>
          <w:tcPr>
            <w:tcW w:w="552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—</w:t>
            </w:r>
          </w:p>
        </w:tc>
        <w:tc>
          <w:tcPr>
            <w:tcW w:w="508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0 (0)</w:t>
            </w:r>
          </w:p>
        </w:tc>
        <w:tc>
          <w:tcPr>
            <w:tcW w:w="593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—</w:t>
            </w:r>
          </w:p>
        </w:tc>
      </w:tr>
      <w:tr w:rsidR="00B82E29" w:rsidRPr="003250C8" w:rsidTr="002223E1">
        <w:tc>
          <w:tcPr>
            <w:tcW w:w="933" w:type="pct"/>
            <w:shd w:val="clear" w:color="auto" w:fill="auto"/>
          </w:tcPr>
          <w:p w:rsidR="00B82E29" w:rsidRPr="0061601C" w:rsidRDefault="00B82E29" w:rsidP="002223E1">
            <w:pPr>
              <w:spacing w:after="120"/>
              <w:ind w:left="171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Proteinuria</w:t>
            </w:r>
          </w:p>
        </w:tc>
        <w:tc>
          <w:tcPr>
            <w:tcW w:w="440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3 (6)</w:t>
            </w:r>
          </w:p>
        </w:tc>
        <w:tc>
          <w:tcPr>
            <w:tcW w:w="448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1 (1)</w:t>
            </w:r>
          </w:p>
        </w:tc>
        <w:tc>
          <w:tcPr>
            <w:tcW w:w="508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3 (10)</w:t>
            </w:r>
          </w:p>
        </w:tc>
        <w:tc>
          <w:tcPr>
            <w:tcW w:w="467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1 (3)</w:t>
            </w:r>
          </w:p>
        </w:tc>
        <w:tc>
          <w:tcPr>
            <w:tcW w:w="550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0 (0)</w:t>
            </w:r>
          </w:p>
        </w:tc>
        <w:tc>
          <w:tcPr>
            <w:tcW w:w="552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0 (0)</w:t>
            </w:r>
          </w:p>
        </w:tc>
        <w:tc>
          <w:tcPr>
            <w:tcW w:w="508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0 (0)</w:t>
            </w:r>
          </w:p>
        </w:tc>
        <w:tc>
          <w:tcPr>
            <w:tcW w:w="593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0 (0)</w:t>
            </w:r>
          </w:p>
        </w:tc>
      </w:tr>
      <w:tr w:rsidR="00B82E29" w:rsidRPr="003250C8" w:rsidTr="002223E1">
        <w:tc>
          <w:tcPr>
            <w:tcW w:w="933" w:type="pct"/>
            <w:shd w:val="clear" w:color="auto" w:fill="auto"/>
          </w:tcPr>
          <w:p w:rsidR="00B82E29" w:rsidRPr="0061601C" w:rsidRDefault="00B82E29" w:rsidP="002223E1">
            <w:pPr>
              <w:spacing w:after="120"/>
              <w:ind w:left="171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Respiratory failure</w:t>
            </w:r>
          </w:p>
        </w:tc>
        <w:tc>
          <w:tcPr>
            <w:tcW w:w="440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3 (6)</w:t>
            </w:r>
          </w:p>
        </w:tc>
        <w:tc>
          <w:tcPr>
            <w:tcW w:w="448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1 (1)</w:t>
            </w:r>
          </w:p>
        </w:tc>
        <w:tc>
          <w:tcPr>
            <w:tcW w:w="508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1 (3)</w:t>
            </w:r>
          </w:p>
        </w:tc>
        <w:tc>
          <w:tcPr>
            <w:tcW w:w="467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0 (0)</w:t>
            </w:r>
          </w:p>
        </w:tc>
        <w:tc>
          <w:tcPr>
            <w:tcW w:w="550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2 (10)</w:t>
            </w:r>
          </w:p>
        </w:tc>
        <w:tc>
          <w:tcPr>
            <w:tcW w:w="552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1 (3)</w:t>
            </w:r>
          </w:p>
        </w:tc>
        <w:tc>
          <w:tcPr>
            <w:tcW w:w="508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0 (0)</w:t>
            </w:r>
          </w:p>
        </w:tc>
        <w:tc>
          <w:tcPr>
            <w:tcW w:w="593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0 (0)</w:t>
            </w:r>
          </w:p>
        </w:tc>
      </w:tr>
      <w:tr w:rsidR="00B82E29" w:rsidRPr="003250C8" w:rsidTr="002223E1">
        <w:tc>
          <w:tcPr>
            <w:tcW w:w="933" w:type="pct"/>
            <w:shd w:val="clear" w:color="auto" w:fill="auto"/>
          </w:tcPr>
          <w:p w:rsidR="00B82E29" w:rsidRPr="0061601C" w:rsidRDefault="00B82E29" w:rsidP="002223E1">
            <w:pPr>
              <w:spacing w:after="120"/>
              <w:ind w:left="171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Stomatitis</w:t>
            </w:r>
          </w:p>
        </w:tc>
        <w:tc>
          <w:tcPr>
            <w:tcW w:w="440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3 (5)</w:t>
            </w:r>
          </w:p>
        </w:tc>
        <w:tc>
          <w:tcPr>
            <w:tcW w:w="448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4 (5)</w:t>
            </w:r>
          </w:p>
        </w:tc>
        <w:tc>
          <w:tcPr>
            <w:tcW w:w="508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1 (3)</w:t>
            </w:r>
          </w:p>
        </w:tc>
        <w:tc>
          <w:tcPr>
            <w:tcW w:w="467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2 (7)</w:t>
            </w:r>
          </w:p>
        </w:tc>
        <w:tc>
          <w:tcPr>
            <w:tcW w:w="550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1 (5)</w:t>
            </w:r>
          </w:p>
        </w:tc>
        <w:tc>
          <w:tcPr>
            <w:tcW w:w="552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1 (3)</w:t>
            </w:r>
          </w:p>
        </w:tc>
        <w:tc>
          <w:tcPr>
            <w:tcW w:w="508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1(20)</w:t>
            </w:r>
          </w:p>
        </w:tc>
        <w:tc>
          <w:tcPr>
            <w:tcW w:w="593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1 (11)</w:t>
            </w:r>
          </w:p>
        </w:tc>
      </w:tr>
      <w:tr w:rsidR="00B82E29" w:rsidRPr="003250C8" w:rsidTr="002223E1">
        <w:tc>
          <w:tcPr>
            <w:tcW w:w="933" w:type="pct"/>
            <w:shd w:val="clear" w:color="auto" w:fill="auto"/>
          </w:tcPr>
          <w:p w:rsidR="00B82E29" w:rsidRPr="0061601C" w:rsidRDefault="00B82E29" w:rsidP="002223E1">
            <w:pPr>
              <w:spacing w:after="120"/>
              <w:ind w:left="171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Hyperglycemia</w:t>
            </w:r>
          </w:p>
        </w:tc>
        <w:tc>
          <w:tcPr>
            <w:tcW w:w="440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2 (4)</w:t>
            </w:r>
          </w:p>
        </w:tc>
        <w:tc>
          <w:tcPr>
            <w:tcW w:w="448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4 (5)</w:t>
            </w:r>
          </w:p>
        </w:tc>
        <w:tc>
          <w:tcPr>
            <w:tcW w:w="508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1 (3)</w:t>
            </w:r>
          </w:p>
        </w:tc>
        <w:tc>
          <w:tcPr>
            <w:tcW w:w="467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1 (3)</w:t>
            </w:r>
          </w:p>
        </w:tc>
        <w:tc>
          <w:tcPr>
            <w:tcW w:w="550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1 (5)</w:t>
            </w:r>
          </w:p>
        </w:tc>
        <w:tc>
          <w:tcPr>
            <w:tcW w:w="552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3 (8)</w:t>
            </w:r>
          </w:p>
        </w:tc>
        <w:tc>
          <w:tcPr>
            <w:tcW w:w="508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0 (0)</w:t>
            </w:r>
          </w:p>
        </w:tc>
        <w:tc>
          <w:tcPr>
            <w:tcW w:w="593" w:type="pct"/>
            <w:shd w:val="clear" w:color="auto" w:fill="auto"/>
          </w:tcPr>
          <w:p w:rsidR="00B82E29" w:rsidRPr="0061601C" w:rsidRDefault="00B82E29" w:rsidP="002223E1">
            <w:pPr>
              <w:tabs>
                <w:tab w:val="left" w:pos="402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</w:rPr>
            </w:pPr>
            <w:r w:rsidRPr="0061601C">
              <w:rPr>
                <w:rFonts w:ascii="Arial" w:hAnsi="Arial" w:cs="Arial"/>
              </w:rPr>
              <w:t>0 (0)</w:t>
            </w:r>
          </w:p>
        </w:tc>
      </w:tr>
    </w:tbl>
    <w:p w:rsidR="00B82E29" w:rsidRPr="0061601C" w:rsidRDefault="00B82E29" w:rsidP="00B82E29">
      <w:pPr>
        <w:spacing w:before="240"/>
        <w:rPr>
          <w:rFonts w:ascii="Arial" w:hAnsi="Arial" w:cs="Arial"/>
        </w:rPr>
      </w:pPr>
      <w:r w:rsidRPr="0061601C">
        <w:rPr>
          <w:rFonts w:ascii="Arial" w:hAnsi="Arial" w:cs="Arial"/>
        </w:rPr>
        <w:t>VEGF = vascular endothelial growth factor</w:t>
      </w:r>
      <w:r>
        <w:rPr>
          <w:rFonts w:ascii="Arial" w:hAnsi="Arial" w:cs="Arial"/>
        </w:rPr>
        <w:t>.</w:t>
      </w:r>
    </w:p>
    <w:p w:rsidR="00B82E29" w:rsidRPr="00A91CA7" w:rsidRDefault="00B82E29" w:rsidP="00B82E29">
      <w:pPr>
        <w:rPr>
          <w:rFonts w:ascii="Arial" w:hAnsi="Arial" w:cs="Arial"/>
        </w:rPr>
      </w:pPr>
      <w:r w:rsidRPr="0061601C">
        <w:rPr>
          <w:rFonts w:ascii="Arial" w:hAnsi="Arial" w:cs="Arial"/>
          <w:vertAlign w:val="superscript"/>
        </w:rPr>
        <w:t>†</w:t>
      </w:r>
      <w:r w:rsidRPr="00A91CA7">
        <w:rPr>
          <w:rFonts w:ascii="Arial" w:hAnsi="Arial" w:cs="Arial"/>
        </w:rPr>
        <w:t xml:space="preserve">Reported in &gt;5% of either the overall Asian or the non-Asian population. </w:t>
      </w:r>
    </w:p>
    <w:p w:rsidR="001A5F70" w:rsidRPr="005A3553" w:rsidRDefault="00B82E29">
      <w:pPr>
        <w:rPr>
          <w:rFonts w:cs="Arial"/>
        </w:rPr>
      </w:pPr>
      <w:r w:rsidRPr="0061601C">
        <w:rPr>
          <w:rFonts w:ascii="Arial" w:hAnsi="Arial" w:cs="Arial"/>
          <w:vertAlign w:val="superscript"/>
        </w:rPr>
        <w:t>‡</w:t>
      </w:r>
      <w:r w:rsidRPr="00A91CA7">
        <w:rPr>
          <w:rFonts w:ascii="Arial" w:hAnsi="Arial" w:cs="Arial"/>
        </w:rPr>
        <w:t>One patient died before treatment initiation and was excluded from the safety analysis.</w:t>
      </w:r>
      <w:bookmarkStart w:id="0" w:name="_GoBack"/>
      <w:bookmarkEnd w:id="0"/>
    </w:p>
    <w:sectPr w:rsidR="001A5F70" w:rsidRPr="005A35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E29"/>
    <w:rsid w:val="001F4CEE"/>
    <w:rsid w:val="00223B20"/>
    <w:rsid w:val="005A3553"/>
    <w:rsid w:val="006B454A"/>
    <w:rsid w:val="00B57453"/>
    <w:rsid w:val="00B82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8E2EFA-982D-4657-961B-1000B5767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2E2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Huntsworth Health</Company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Colin Gittens</dc:creator>
  <cp:keywords/>
  <dc:description/>
  <cp:lastModifiedBy>Colin Gittens</cp:lastModifiedBy>
  <cp:revision>2</cp:revision>
  <dcterms:created xsi:type="dcterms:W3CDTF">2017-10-25T21:24:00Z</dcterms:created>
  <dcterms:modified xsi:type="dcterms:W3CDTF">2017-10-25T22:01:00Z</dcterms:modified>
</cp:coreProperties>
</file>