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A02B29" w14:textId="393D2C9A" w:rsidR="005945E7" w:rsidRPr="009E178B" w:rsidRDefault="005459B3" w:rsidP="00FC2EE2">
      <w:pPr>
        <w:pStyle w:val="Default"/>
        <w:spacing w:line="360" w:lineRule="auto"/>
        <w:jc w:val="both"/>
        <w:rPr>
          <w:rFonts w:ascii="Calibri" w:hAnsi="Calibri"/>
          <w:b/>
          <w:color w:val="000000" w:themeColor="text1"/>
          <w:sz w:val="24"/>
        </w:rPr>
      </w:pPr>
      <w:r>
        <w:rPr>
          <w:rFonts w:ascii="Calibri" w:hAnsi="Calibri"/>
          <w:b/>
          <w:color w:val="000000" w:themeColor="text1"/>
          <w:sz w:val="24"/>
        </w:rPr>
        <w:t>Additional file</w:t>
      </w:r>
    </w:p>
    <w:p w14:paraId="0DA471C1" w14:textId="5CA62A2B" w:rsidR="005945E7" w:rsidRPr="009E178B" w:rsidRDefault="005459B3" w:rsidP="00FC2EE2">
      <w:pPr>
        <w:pStyle w:val="Default"/>
        <w:spacing w:line="360" w:lineRule="auto"/>
        <w:jc w:val="both"/>
        <w:rPr>
          <w:rFonts w:ascii="Calibri" w:hAnsi="Calibri"/>
          <w:b/>
          <w:color w:val="000000" w:themeColor="text1"/>
        </w:rPr>
      </w:pPr>
      <w:r>
        <w:rPr>
          <w:rFonts w:ascii="Calibri" w:hAnsi="Calibri"/>
          <w:b/>
          <w:color w:val="000000" w:themeColor="text1"/>
        </w:rPr>
        <w:t xml:space="preserve">Additional file 1 </w:t>
      </w:r>
      <w:r w:rsidR="005945E7" w:rsidRPr="009E178B">
        <w:rPr>
          <w:rFonts w:ascii="Calibri" w:hAnsi="Calibri"/>
          <w:b/>
          <w:color w:val="000000" w:themeColor="text1"/>
        </w:rPr>
        <w:t>Productivity losses due breast cancer-related morbidity and mortality</w:t>
      </w:r>
    </w:p>
    <w:p w14:paraId="5457CA30" w14:textId="0CA2D22A" w:rsidR="003160D2" w:rsidRDefault="003160D2" w:rsidP="003160D2">
      <w:pPr>
        <w:pBdr>
          <w:top w:val="none" w:sz="0" w:space="0" w:color="auto"/>
          <w:left w:val="none" w:sz="0" w:space="0" w:color="auto"/>
          <w:bottom w:val="none" w:sz="0" w:space="0" w:color="auto"/>
          <w:right w:val="none" w:sz="0" w:space="0" w:color="auto"/>
          <w:between w:val="none" w:sz="0" w:space="0" w:color="auto"/>
          <w:bar w:val="none" w:sz="0" w:color="auto"/>
        </w:pBdr>
        <w:spacing w:before="166" w:after="166"/>
        <w:jc w:val="both"/>
        <w:rPr>
          <w:rFonts w:eastAsiaTheme="minorHAnsi"/>
          <w:color w:val="000000"/>
          <w:bdr w:val="none" w:sz="0" w:space="0" w:color="auto"/>
        </w:rPr>
      </w:pPr>
      <w:r>
        <w:rPr>
          <w:rFonts w:eastAsiaTheme="minorHAnsi"/>
          <w:color w:val="000000"/>
          <w:bdr w:val="none" w:sz="0" w:space="0" w:color="auto"/>
        </w:rPr>
        <w:t>The</w:t>
      </w:r>
      <w:r w:rsidRPr="008B6D99">
        <w:rPr>
          <w:rFonts w:eastAsiaTheme="minorHAnsi"/>
          <w:color w:val="000000"/>
          <w:bdr w:val="none" w:sz="0" w:space="0" w:color="auto"/>
        </w:rPr>
        <w:t xml:space="preserve"> Human Capital Approach </w:t>
      </w:r>
      <w:r w:rsidR="00625C00">
        <w:rPr>
          <w:rFonts w:eastAsiaTheme="minorHAnsi"/>
          <w:color w:val="000000"/>
          <w:bdr w:val="none" w:sz="0" w:space="0" w:color="auto"/>
        </w:rPr>
        <w:t>was</w:t>
      </w:r>
      <w:r w:rsidR="00625C00" w:rsidRPr="008B6D99">
        <w:rPr>
          <w:rFonts w:eastAsiaTheme="minorHAnsi"/>
          <w:color w:val="000000"/>
          <w:bdr w:val="none" w:sz="0" w:space="0" w:color="auto"/>
        </w:rPr>
        <w:t xml:space="preserve"> </w:t>
      </w:r>
      <w:r w:rsidRPr="008B6D99">
        <w:rPr>
          <w:rFonts w:eastAsiaTheme="minorHAnsi"/>
          <w:color w:val="000000"/>
          <w:bdr w:val="none" w:sz="0" w:space="0" w:color="auto"/>
        </w:rPr>
        <w:t>used to estimate the cost of</w:t>
      </w:r>
      <w:r>
        <w:rPr>
          <w:rFonts w:eastAsiaTheme="minorHAnsi"/>
          <w:color w:val="000000"/>
          <w:bdr w:val="none" w:sz="0" w:space="0" w:color="auto"/>
        </w:rPr>
        <w:t xml:space="preserve"> mortality and morbidity related</w:t>
      </w:r>
      <w:r w:rsidRPr="008B6D99">
        <w:rPr>
          <w:rFonts w:eastAsiaTheme="minorHAnsi"/>
          <w:color w:val="000000"/>
          <w:bdr w:val="none" w:sz="0" w:space="0" w:color="auto"/>
        </w:rPr>
        <w:t xml:space="preserve"> </w:t>
      </w:r>
      <w:r>
        <w:rPr>
          <w:rFonts w:eastAsiaTheme="minorHAnsi"/>
          <w:color w:val="000000"/>
          <w:bdr w:val="none" w:sz="0" w:space="0" w:color="auto"/>
        </w:rPr>
        <w:t>productivity losses due to breast cancer in The Netherlands.</w:t>
      </w:r>
      <w:r w:rsidRPr="008B6D99">
        <w:rPr>
          <w:rFonts w:eastAsiaTheme="minorHAnsi"/>
          <w:color w:val="000000"/>
          <w:bdr w:val="none" w:sz="0" w:space="0" w:color="auto"/>
        </w:rPr>
        <w:t xml:space="preserve"> </w:t>
      </w:r>
      <w:r w:rsidR="006A0B6A" w:rsidRPr="006A0B6A">
        <w:rPr>
          <w:rFonts w:eastAsiaTheme="minorHAnsi"/>
          <w:color w:val="000000"/>
          <w:bdr w:val="none" w:sz="0" w:space="0" w:color="auto"/>
        </w:rPr>
        <w:t>This approach measures the total value of potential productivity from a societal perspective. To estimate the productivity losses due to breast cancer-related deaths, first the number of breast cancer related deaths were obtained from the IKNL website</w:t>
      </w:r>
      <w:r w:rsidR="006A0B6A" w:rsidRPr="009E178B">
        <w:rPr>
          <w:rFonts w:ascii="Calibri" w:hAnsi="Calibri"/>
          <w:color w:val="000000" w:themeColor="text1"/>
        </w:rPr>
        <w:t xml:space="preserve"> </w:t>
      </w:r>
      <w:r w:rsidR="006A0B6A" w:rsidRPr="009E178B">
        <w:rPr>
          <w:rFonts w:ascii="Calibri" w:hAnsi="Calibri"/>
          <w:color w:val="000000" w:themeColor="text1"/>
        </w:rPr>
        <w:fldChar w:fldCharType="begin"/>
      </w:r>
      <w:r w:rsidR="006A0B6A">
        <w:rPr>
          <w:rFonts w:ascii="Calibri" w:hAnsi="Calibri"/>
          <w:color w:val="000000" w:themeColor="text1"/>
        </w:rPr>
        <w:instrText xml:space="preserve"> ADDIN EN.CITE &lt;EndNote&gt;&lt;Cite&gt;&lt;Author&gt;(IKNL)&lt;/Author&gt;&lt;Year&gt;2016&lt;/Year&gt;&lt;RecNum&gt;11&lt;/RecNum&gt;&lt;DisplayText&gt;[1]&lt;/DisplayText&gt;&lt;record&gt;&lt;rec-number&gt;11&lt;/rec-number&gt;&lt;foreign-keys&gt;&lt;key app="EN" db-id="2f5aar92r2exz1es9da5a0rfsstr5zaf92rs" timestamp="1488788634"&gt;11&lt;/key&gt;&lt;/foreign-keys&gt;&lt;ref-type name="Journal Article"&gt;17&lt;/ref-type&gt;&lt;contributors&gt;&lt;authors&gt;&lt;author&gt;Dutch Cancer Registry (NKR) &amp;amp; Comprehensive Cancer Centre Netherlands (IKNL)&lt;/author&gt;&lt;/authors&gt;&lt;/contributors&gt;&lt;titles&gt;&lt;title&gt;Cijfers over kanker&lt;/title&gt;&lt;/titles&gt;&lt;dates&gt;&lt;year&gt;2016&lt;/year&gt;&lt;pub-dates&gt;&lt;date&gt;10/11/2016&lt;/date&gt;&lt;/pub-dates&gt;&lt;/dates&gt;&lt;urls&gt;&lt;related-urls&gt;&lt;url&gt;http://cijfersoverkanker.nl/&lt;/url&gt;&lt;/related-urls&gt;&lt;/urls&gt;&lt;/record&gt;&lt;/Cite&gt;&lt;/EndNote&gt;</w:instrText>
      </w:r>
      <w:r w:rsidR="006A0B6A" w:rsidRPr="009E178B">
        <w:rPr>
          <w:rFonts w:ascii="Calibri" w:hAnsi="Calibri"/>
          <w:color w:val="000000" w:themeColor="text1"/>
        </w:rPr>
        <w:fldChar w:fldCharType="separate"/>
      </w:r>
      <w:r w:rsidR="006A0B6A">
        <w:rPr>
          <w:rFonts w:ascii="Calibri" w:hAnsi="Calibri"/>
          <w:noProof/>
          <w:color w:val="000000" w:themeColor="text1"/>
        </w:rPr>
        <w:t>[1]</w:t>
      </w:r>
      <w:r w:rsidR="006A0B6A" w:rsidRPr="009E178B">
        <w:rPr>
          <w:rFonts w:ascii="Calibri" w:hAnsi="Calibri"/>
          <w:color w:val="000000" w:themeColor="text1"/>
        </w:rPr>
        <w:fldChar w:fldCharType="end"/>
      </w:r>
      <w:r w:rsidR="006A0B6A" w:rsidRPr="009E178B">
        <w:rPr>
          <w:rFonts w:ascii="Calibri" w:hAnsi="Calibri"/>
          <w:color w:val="000000" w:themeColor="text1"/>
        </w:rPr>
        <w:t xml:space="preserve">. </w:t>
      </w:r>
      <w:r>
        <w:rPr>
          <w:rFonts w:eastAsiaTheme="minorHAnsi"/>
          <w:color w:val="000000"/>
          <w:bdr w:val="none" w:sz="0" w:space="0" w:color="auto"/>
        </w:rPr>
        <w:t>Three measure were used to estimate the cost of productivity losses: Years of Potential Life years Lost (YPLL), Years of Potential productive life lost (YPPLL) and the cost of lost productivity (CLP) due to premature mortality and morbidity. To estimate YPLL and CPL we used the life expectancy of the general Dutch population retrieved from the Central bureau of statistics</w:t>
      </w:r>
      <w:r w:rsidRPr="009E178B">
        <w:rPr>
          <w:rFonts w:ascii="Calibri" w:hAnsi="Calibri"/>
          <w:color w:val="000000" w:themeColor="text1"/>
        </w:rPr>
        <w:fldChar w:fldCharType="begin"/>
      </w:r>
      <w:r>
        <w:rPr>
          <w:rFonts w:ascii="Calibri" w:hAnsi="Calibri"/>
          <w:color w:val="000000" w:themeColor="text1"/>
        </w:rPr>
        <w:instrText xml:space="preserve"> ADDIN EN.CITE &lt;EndNote&gt;&lt;Cite&gt;&lt;Author&gt;(CBS)&lt;/Author&gt;&lt;Year&gt;2016&lt;/Year&gt;&lt;RecNum&gt;16&lt;/RecNum&gt;&lt;DisplayText&gt;[2]&lt;/DisplayText&gt;&lt;record&gt;&lt;rec-number&gt;16&lt;/rec-number&gt;&lt;foreign-keys&gt;&lt;key app="EN" db-id="2f5aar92r2exz1es9da5a0rfsstr5zaf92rs" timestamp="1488790678"&gt;16&lt;/key&gt;&lt;/foreign-keys&gt;&lt;ref-type name="Journal Article"&gt;17&lt;/ref-type&gt;&lt;contributors&gt;&lt;authors&gt;&lt;author&gt;Dutch Central Bureau for statistics (CBS)&lt;/author&gt;&lt;/authors&gt;&lt;/contributors&gt;&lt;titles&gt;&lt;title&gt;Life expectancy of women in the Netherlands&lt;/title&gt;&lt;/titles&gt;&lt;dates&gt;&lt;year&gt;2016&lt;/year&gt;&lt;/dates&gt;&lt;urls&gt;&lt;related-urls&gt;&lt;url&gt;http://statline.cbs.nl/Statweb/publication/?DM=SLNL&amp;amp;PA=71950ned&amp;amp;D1=0&amp;amp;D2=l&amp;amp;D3=a&amp;amp;D4=0&amp;amp;D5=9-34&amp;amp;HDR=T&amp;amp;STB=G1,G2,G3,G4&amp;amp;VW=T&lt;/url&gt;&lt;/related-urls&gt;&lt;/urls&gt;&lt;/record&gt;&lt;/Cite&gt;&lt;/EndNote&gt;</w:instrText>
      </w:r>
      <w:r w:rsidRPr="009E178B">
        <w:rPr>
          <w:rFonts w:ascii="Calibri" w:hAnsi="Calibri"/>
          <w:color w:val="000000" w:themeColor="text1"/>
        </w:rPr>
        <w:fldChar w:fldCharType="separate"/>
      </w:r>
      <w:r>
        <w:rPr>
          <w:rFonts w:ascii="Calibri" w:hAnsi="Calibri"/>
          <w:noProof/>
          <w:color w:val="000000" w:themeColor="text1"/>
        </w:rPr>
        <w:t>[2]</w:t>
      </w:r>
      <w:r w:rsidRPr="009E178B">
        <w:rPr>
          <w:rFonts w:ascii="Calibri" w:hAnsi="Calibri"/>
          <w:color w:val="000000" w:themeColor="text1"/>
        </w:rPr>
        <w:fldChar w:fldCharType="end"/>
      </w:r>
      <w:r>
        <w:rPr>
          <w:rFonts w:eastAsiaTheme="minorHAnsi"/>
          <w:color w:val="000000"/>
          <w:bdr w:val="none" w:sz="0" w:space="0" w:color="auto"/>
        </w:rPr>
        <w:t xml:space="preserve"> and applied a working age from 15 to 65 years.</w:t>
      </w:r>
    </w:p>
    <w:p w14:paraId="46F46782" w14:textId="77777777" w:rsidR="003160D2" w:rsidRDefault="003160D2" w:rsidP="003160D2">
      <w:pPr>
        <w:pBdr>
          <w:top w:val="none" w:sz="0" w:space="0" w:color="auto"/>
          <w:left w:val="none" w:sz="0" w:space="0" w:color="auto"/>
          <w:bottom w:val="none" w:sz="0" w:space="0" w:color="auto"/>
          <w:right w:val="none" w:sz="0" w:space="0" w:color="auto"/>
          <w:between w:val="none" w:sz="0" w:space="0" w:color="auto"/>
          <w:bar w:val="none" w:sz="0" w:color="auto"/>
        </w:pBdr>
        <w:spacing w:before="166" w:after="166"/>
        <w:jc w:val="both"/>
        <w:rPr>
          <w:rFonts w:eastAsiaTheme="minorHAnsi"/>
          <w:color w:val="000000"/>
          <w:bdr w:val="none" w:sz="0" w:space="0" w:color="auto"/>
        </w:rPr>
      </w:pPr>
      <w:r>
        <w:rPr>
          <w:rFonts w:eastAsiaTheme="minorHAnsi"/>
          <w:color w:val="000000"/>
          <w:bdr w:val="none" w:sz="0" w:space="0" w:color="auto"/>
        </w:rPr>
        <w:t>Estimation methods</w:t>
      </w:r>
    </w:p>
    <w:p w14:paraId="2933B86D" w14:textId="77777777" w:rsidR="003160D2" w:rsidRDefault="003160D2" w:rsidP="003160D2">
      <w:pPr>
        <w:pBdr>
          <w:top w:val="none" w:sz="0" w:space="0" w:color="auto"/>
          <w:left w:val="none" w:sz="0" w:space="0" w:color="auto"/>
          <w:bottom w:val="none" w:sz="0" w:space="0" w:color="auto"/>
          <w:right w:val="none" w:sz="0" w:space="0" w:color="auto"/>
          <w:between w:val="none" w:sz="0" w:space="0" w:color="auto"/>
          <w:bar w:val="none" w:sz="0" w:color="auto"/>
        </w:pBdr>
        <w:spacing w:before="166" w:after="166"/>
        <w:jc w:val="both"/>
        <w:rPr>
          <w:rFonts w:eastAsiaTheme="minorHAnsi"/>
          <w:color w:val="000000"/>
          <w:bdr w:val="none" w:sz="0" w:space="0" w:color="auto"/>
        </w:rPr>
      </w:pPr>
      <w:r w:rsidRPr="008B6D99">
        <w:rPr>
          <w:rFonts w:eastAsiaTheme="minorHAnsi"/>
          <w:color w:val="000000"/>
          <w:bdr w:val="none" w:sz="0" w:space="0" w:color="auto"/>
        </w:rPr>
        <w:t xml:space="preserve">YPLL Estimation Due to Premature Mortality: To estimate YPLL for premature mortality due to </w:t>
      </w:r>
      <w:r>
        <w:rPr>
          <w:rFonts w:eastAsiaTheme="minorHAnsi"/>
          <w:color w:val="000000"/>
          <w:bdr w:val="none" w:sz="0" w:space="0" w:color="auto"/>
        </w:rPr>
        <w:t>breast cancer</w:t>
      </w:r>
      <w:r w:rsidRPr="008B6D99">
        <w:rPr>
          <w:rFonts w:eastAsiaTheme="minorHAnsi"/>
          <w:color w:val="000000"/>
          <w:bdr w:val="none" w:sz="0" w:space="0" w:color="auto"/>
        </w:rPr>
        <w:t>, all the deaths in each age group</w:t>
      </w:r>
      <w:r>
        <w:rPr>
          <w:rFonts w:eastAsiaTheme="minorHAnsi"/>
          <w:color w:val="000000"/>
          <w:bdr w:val="none" w:sz="0" w:space="0" w:color="auto"/>
        </w:rPr>
        <w:t xml:space="preserve"> where assumed to</w:t>
      </w:r>
      <w:r w:rsidRPr="008B6D99">
        <w:rPr>
          <w:rFonts w:eastAsiaTheme="minorHAnsi"/>
          <w:color w:val="000000"/>
          <w:bdr w:val="none" w:sz="0" w:space="0" w:color="auto"/>
        </w:rPr>
        <w:t xml:space="preserve"> occur in the mid-point of tha</w:t>
      </w:r>
      <w:r>
        <w:rPr>
          <w:rFonts w:eastAsiaTheme="minorHAnsi"/>
          <w:color w:val="000000"/>
          <w:bdr w:val="none" w:sz="0" w:space="0" w:color="auto"/>
        </w:rPr>
        <w:t>t age group. T</w:t>
      </w:r>
      <w:r w:rsidRPr="008B6D99">
        <w:rPr>
          <w:rFonts w:eastAsiaTheme="minorHAnsi"/>
          <w:color w:val="000000"/>
          <w:bdr w:val="none" w:sz="0" w:space="0" w:color="auto"/>
        </w:rPr>
        <w:t>he number of deaths in each age group w</w:t>
      </w:r>
      <w:r>
        <w:rPr>
          <w:rFonts w:eastAsiaTheme="minorHAnsi"/>
          <w:color w:val="000000"/>
          <w:bdr w:val="none" w:sz="0" w:space="0" w:color="auto"/>
        </w:rPr>
        <w:t>ere</w:t>
      </w:r>
      <w:r w:rsidRPr="008B6D99">
        <w:rPr>
          <w:rFonts w:eastAsiaTheme="minorHAnsi"/>
          <w:color w:val="000000"/>
          <w:bdr w:val="none" w:sz="0" w:space="0" w:color="auto"/>
        </w:rPr>
        <w:t xml:space="preserve"> multiplied by the average of the remaining life expectancy for that age group</w:t>
      </w:r>
      <w:r>
        <w:rPr>
          <w:rFonts w:eastAsiaTheme="minorHAnsi"/>
          <w:color w:val="000000"/>
          <w:bdr w:val="none" w:sz="0" w:space="0" w:color="auto"/>
        </w:rPr>
        <w:t xml:space="preserve"> to calculate the YPLL</w:t>
      </w:r>
      <w:r w:rsidRPr="008B6D99">
        <w:rPr>
          <w:rFonts w:eastAsiaTheme="minorHAnsi"/>
          <w:color w:val="000000"/>
          <w:bdr w:val="none" w:sz="0" w:space="0" w:color="auto"/>
        </w:rPr>
        <w:t xml:space="preserve">. </w:t>
      </w:r>
      <w:r>
        <w:rPr>
          <w:rFonts w:eastAsiaTheme="minorHAnsi"/>
          <w:color w:val="000000"/>
          <w:bdr w:val="none" w:sz="0" w:space="0" w:color="auto"/>
        </w:rPr>
        <w:t>The total number of YPLL was calculated using the following equation:</w:t>
      </w:r>
    </w:p>
    <w:p w14:paraId="4036EB0A" w14:textId="77777777" w:rsidR="003160D2" w:rsidRPr="00F335E7" w:rsidRDefault="003160D2" w:rsidP="003160D2">
      <w:pPr>
        <w:pBdr>
          <w:top w:val="none" w:sz="0" w:space="0" w:color="auto"/>
          <w:left w:val="none" w:sz="0" w:space="0" w:color="auto"/>
          <w:bottom w:val="none" w:sz="0" w:space="0" w:color="auto"/>
          <w:right w:val="none" w:sz="0" w:space="0" w:color="auto"/>
          <w:between w:val="none" w:sz="0" w:space="0" w:color="auto"/>
          <w:bar w:val="none" w:sz="0" w:color="auto"/>
        </w:pBdr>
        <w:spacing w:before="166" w:after="166"/>
        <w:jc w:val="both"/>
        <w:rPr>
          <w:rFonts w:eastAsiaTheme="minorHAnsi"/>
          <w:color w:val="000000"/>
          <w:bdr w:val="none" w:sz="0" w:space="0" w:color="auto"/>
        </w:rPr>
      </w:pPr>
      <m:oMathPara>
        <m:oMath>
          <m:r>
            <w:rPr>
              <w:rFonts w:ascii="Cambria Math" w:eastAsiaTheme="minorHAnsi" w:hAnsi="Cambria Math"/>
              <w:color w:val="000000"/>
              <w:bdr w:val="none" w:sz="0" w:space="0" w:color="auto"/>
            </w:rPr>
            <m:t>YPLL=</m:t>
          </m:r>
          <m:nary>
            <m:naryPr>
              <m:chr m:val="∑"/>
              <m:limLoc m:val="undOvr"/>
              <m:ctrlPr>
                <w:rPr>
                  <w:rFonts w:ascii="Cambria Math" w:eastAsiaTheme="minorHAnsi" w:hAnsi="Cambria Math"/>
                  <w:i/>
                  <w:color w:val="000000"/>
                  <w:bdr w:val="none" w:sz="0" w:space="0" w:color="auto"/>
                </w:rPr>
              </m:ctrlPr>
            </m:naryPr>
            <m:sub>
              <m:r>
                <w:rPr>
                  <w:rFonts w:ascii="Cambria Math" w:eastAsiaTheme="minorHAnsi" w:hAnsi="Cambria Math"/>
                  <w:color w:val="000000"/>
                  <w:bdr w:val="none" w:sz="0" w:space="0" w:color="auto"/>
                </w:rPr>
                <m:t>i=0</m:t>
              </m:r>
            </m:sub>
            <m:sup>
              <m:r>
                <w:rPr>
                  <w:rFonts w:ascii="Cambria Math" w:eastAsiaTheme="minorHAnsi" w:hAnsi="Cambria Math"/>
                  <w:color w:val="000000"/>
                  <w:bdr w:val="none" w:sz="0" w:space="0" w:color="auto"/>
                </w:rPr>
                <m:t>∞</m:t>
              </m:r>
            </m:sup>
            <m:e>
              <m:r>
                <w:rPr>
                  <w:rFonts w:ascii="Cambria Math" w:eastAsiaTheme="minorHAnsi" w:hAnsi="Cambria Math"/>
                  <w:color w:val="000000"/>
                  <w:bdr w:val="none" w:sz="0" w:space="0" w:color="auto"/>
                </w:rPr>
                <m:t>di×Li</m:t>
              </m:r>
            </m:e>
          </m:nary>
        </m:oMath>
      </m:oMathPara>
    </w:p>
    <w:p w14:paraId="15E3B660" w14:textId="77777777" w:rsidR="003160D2" w:rsidRDefault="003160D2" w:rsidP="003160D2">
      <w:pPr>
        <w:pBdr>
          <w:top w:val="none" w:sz="0" w:space="0" w:color="auto"/>
          <w:left w:val="none" w:sz="0" w:space="0" w:color="auto"/>
          <w:bottom w:val="none" w:sz="0" w:space="0" w:color="auto"/>
          <w:right w:val="none" w:sz="0" w:space="0" w:color="auto"/>
          <w:between w:val="none" w:sz="0" w:space="0" w:color="auto"/>
          <w:bar w:val="none" w:sz="0" w:color="auto"/>
        </w:pBdr>
        <w:spacing w:before="166" w:after="166"/>
        <w:jc w:val="both"/>
        <w:rPr>
          <w:rFonts w:eastAsiaTheme="minorHAnsi"/>
          <w:color w:val="000000"/>
          <w:bdr w:val="none" w:sz="0" w:space="0" w:color="auto"/>
        </w:rPr>
      </w:pPr>
      <w:r>
        <w:rPr>
          <w:rFonts w:eastAsiaTheme="minorHAnsi"/>
          <w:color w:val="000000"/>
          <w:bdr w:val="none" w:sz="0" w:space="0" w:color="auto"/>
        </w:rPr>
        <w:t>In this formula di represents the number of deaths at the mid-point of each age group (i) and Li is the average remaining life expectancy for that age group (i) would they not have died from breast cancer, based on the average life expectancy in the Netherlands.</w:t>
      </w:r>
    </w:p>
    <w:p w14:paraId="5BD84F40" w14:textId="77777777" w:rsidR="003160D2" w:rsidRDefault="003160D2" w:rsidP="003160D2">
      <w:pPr>
        <w:pBdr>
          <w:top w:val="none" w:sz="0" w:space="0" w:color="auto"/>
          <w:left w:val="none" w:sz="0" w:space="0" w:color="auto"/>
          <w:bottom w:val="none" w:sz="0" w:space="0" w:color="auto"/>
          <w:right w:val="none" w:sz="0" w:space="0" w:color="auto"/>
          <w:between w:val="none" w:sz="0" w:space="0" w:color="auto"/>
          <w:bar w:val="none" w:sz="0" w:color="auto"/>
        </w:pBdr>
        <w:spacing w:before="166" w:after="166"/>
        <w:jc w:val="both"/>
        <w:rPr>
          <w:rFonts w:eastAsiaTheme="minorHAnsi"/>
          <w:color w:val="000000"/>
          <w:bdr w:val="none" w:sz="0" w:space="0" w:color="auto"/>
        </w:rPr>
      </w:pPr>
      <w:r>
        <w:rPr>
          <w:rFonts w:eastAsiaTheme="minorHAnsi"/>
          <w:color w:val="000000"/>
          <w:bdr w:val="none" w:sz="0" w:space="0" w:color="auto"/>
        </w:rPr>
        <w:t>To calculate the cost of productivity lost due to premature mortality we first estimated the Years of Potential Productive Life Lost (YPPLL) were calculated. The YPPLL estimation is similar to YPLL although deaths below age 15 and above age 65 where disregarded to calculate YPPLL and the number of life years lost where limited to the age or retirement (65 years for this study). The YPPLL was calculated by the following equation:</w:t>
      </w:r>
    </w:p>
    <w:p w14:paraId="146523F1" w14:textId="77777777" w:rsidR="003160D2" w:rsidRPr="009C2CF7" w:rsidRDefault="003160D2" w:rsidP="003160D2">
      <w:pPr>
        <w:pBdr>
          <w:top w:val="none" w:sz="0" w:space="0" w:color="auto"/>
          <w:left w:val="none" w:sz="0" w:space="0" w:color="auto"/>
          <w:bottom w:val="none" w:sz="0" w:space="0" w:color="auto"/>
          <w:right w:val="none" w:sz="0" w:space="0" w:color="auto"/>
          <w:between w:val="none" w:sz="0" w:space="0" w:color="auto"/>
          <w:bar w:val="none" w:sz="0" w:color="auto"/>
        </w:pBdr>
        <w:spacing w:before="166" w:after="166"/>
        <w:jc w:val="both"/>
        <w:rPr>
          <w:rFonts w:eastAsiaTheme="minorEastAsia"/>
          <w:color w:val="000000"/>
          <w:bdr w:val="none" w:sz="0" w:space="0" w:color="auto"/>
        </w:rPr>
      </w:pPr>
      <m:oMathPara>
        <m:oMath>
          <m:r>
            <w:rPr>
              <w:rFonts w:ascii="Cambria Math" w:eastAsiaTheme="minorHAnsi" w:hAnsi="Cambria Math"/>
              <w:color w:val="000000"/>
              <w:bdr w:val="none" w:sz="0" w:space="0" w:color="auto"/>
            </w:rPr>
            <m:t>YPPLL=</m:t>
          </m:r>
          <m:nary>
            <m:naryPr>
              <m:chr m:val="∑"/>
              <m:limLoc m:val="undOvr"/>
              <m:ctrlPr>
                <w:rPr>
                  <w:rFonts w:ascii="Cambria Math" w:eastAsiaTheme="minorHAnsi" w:hAnsi="Cambria Math"/>
                  <w:i/>
                  <w:color w:val="000000"/>
                  <w:bdr w:val="none" w:sz="0" w:space="0" w:color="auto"/>
                </w:rPr>
              </m:ctrlPr>
            </m:naryPr>
            <m:sub>
              <m:r>
                <w:rPr>
                  <w:rFonts w:ascii="Cambria Math" w:eastAsiaTheme="minorHAnsi" w:hAnsi="Cambria Math"/>
                  <w:color w:val="000000"/>
                  <w:bdr w:val="none" w:sz="0" w:space="0" w:color="auto"/>
                </w:rPr>
                <m:t>i=0</m:t>
              </m:r>
            </m:sub>
            <m:sup>
              <m:r>
                <w:rPr>
                  <w:rFonts w:ascii="Cambria Math" w:eastAsiaTheme="minorHAnsi" w:hAnsi="Cambria Math"/>
                  <w:color w:val="000000"/>
                  <w:bdr w:val="none" w:sz="0" w:space="0" w:color="auto"/>
                </w:rPr>
                <m:t>N</m:t>
              </m:r>
            </m:sup>
            <m:e>
              <m:r>
                <w:rPr>
                  <w:rFonts w:ascii="Cambria Math" w:eastAsiaTheme="minorHAnsi" w:hAnsi="Cambria Math"/>
                  <w:color w:val="000000"/>
                  <w:bdr w:val="none" w:sz="0" w:space="0" w:color="auto"/>
                </w:rPr>
                <m:t>di×</m:t>
              </m:r>
              <m:d>
                <m:dPr>
                  <m:ctrlPr>
                    <w:rPr>
                      <w:rFonts w:ascii="Cambria Math" w:eastAsiaTheme="minorHAnsi" w:hAnsi="Cambria Math"/>
                      <w:i/>
                      <w:color w:val="000000"/>
                      <w:bdr w:val="none" w:sz="0" w:space="0" w:color="auto"/>
                    </w:rPr>
                  </m:ctrlPr>
                </m:dPr>
                <m:e>
                  <m:sSub>
                    <m:sSubPr>
                      <m:ctrlPr>
                        <w:rPr>
                          <w:rFonts w:ascii="Cambria Math" w:eastAsiaTheme="minorHAnsi" w:hAnsi="Cambria Math"/>
                          <w:i/>
                          <w:color w:val="000000"/>
                          <w:bdr w:val="none" w:sz="0" w:space="0" w:color="auto"/>
                        </w:rPr>
                      </m:ctrlPr>
                    </m:sSubPr>
                    <m:e>
                      <m:r>
                        <w:rPr>
                          <w:rFonts w:ascii="Cambria Math" w:eastAsiaTheme="minorHAnsi" w:hAnsi="Cambria Math"/>
                          <w:color w:val="000000"/>
                          <w:bdr w:val="none" w:sz="0" w:space="0" w:color="auto"/>
                        </w:rPr>
                        <m:t>W</m:t>
                      </m:r>
                    </m:e>
                    <m:sub>
                      <m:r>
                        <w:rPr>
                          <w:rFonts w:ascii="Cambria Math" w:eastAsiaTheme="minorHAnsi" w:hAnsi="Cambria Math"/>
                          <w:color w:val="000000"/>
                          <w:bdr w:val="none" w:sz="0" w:space="0" w:color="auto"/>
                        </w:rPr>
                        <m:t>U</m:t>
                      </m:r>
                    </m:sub>
                  </m:sSub>
                  <m:r>
                    <w:rPr>
                      <w:rFonts w:ascii="Cambria Math" w:eastAsiaTheme="minorHAnsi" w:hAnsi="Cambria Math"/>
                      <w:color w:val="000000"/>
                      <w:bdr w:val="none" w:sz="0" w:space="0" w:color="auto"/>
                    </w:rPr>
                    <m:t>-</m:t>
                  </m:r>
                  <m:sSub>
                    <m:sSubPr>
                      <m:ctrlPr>
                        <w:rPr>
                          <w:rFonts w:ascii="Cambria Math" w:eastAsiaTheme="minorHAnsi" w:hAnsi="Cambria Math"/>
                          <w:i/>
                          <w:color w:val="000000"/>
                          <w:bdr w:val="none" w:sz="0" w:space="0" w:color="auto"/>
                        </w:rPr>
                      </m:ctrlPr>
                    </m:sSubPr>
                    <m:e>
                      <m:r>
                        <w:rPr>
                          <w:rFonts w:ascii="Cambria Math" w:eastAsiaTheme="minorHAnsi" w:hAnsi="Cambria Math"/>
                          <w:color w:val="000000"/>
                          <w:bdr w:val="none" w:sz="0" w:space="0" w:color="auto"/>
                        </w:rPr>
                        <m:t>W</m:t>
                      </m:r>
                    </m:e>
                    <m:sub>
                      <m:r>
                        <w:rPr>
                          <w:rFonts w:ascii="Cambria Math" w:eastAsiaTheme="minorHAnsi" w:hAnsi="Cambria Math"/>
                          <w:color w:val="000000"/>
                          <w:bdr w:val="none" w:sz="0" w:space="0" w:color="auto"/>
                        </w:rPr>
                        <m:t>L</m:t>
                      </m:r>
                    </m:sub>
                  </m:sSub>
                </m:e>
              </m:d>
            </m:e>
          </m:nary>
        </m:oMath>
      </m:oMathPara>
    </w:p>
    <w:p w14:paraId="0720984A" w14:textId="77777777" w:rsidR="003160D2" w:rsidRDefault="003160D2" w:rsidP="003160D2">
      <w:pPr>
        <w:pBdr>
          <w:top w:val="none" w:sz="0" w:space="0" w:color="auto"/>
          <w:left w:val="none" w:sz="0" w:space="0" w:color="auto"/>
          <w:bottom w:val="none" w:sz="0" w:space="0" w:color="auto"/>
          <w:right w:val="none" w:sz="0" w:space="0" w:color="auto"/>
          <w:between w:val="none" w:sz="0" w:space="0" w:color="auto"/>
          <w:bar w:val="none" w:sz="0" w:color="auto"/>
        </w:pBdr>
        <w:spacing w:before="166" w:after="166"/>
        <w:jc w:val="both"/>
        <w:rPr>
          <w:rFonts w:eastAsiaTheme="minorEastAsia"/>
          <w:color w:val="000000"/>
          <w:bdr w:val="none" w:sz="0" w:space="0" w:color="auto"/>
        </w:rPr>
      </w:pPr>
      <w:r>
        <w:rPr>
          <w:rFonts w:eastAsiaTheme="minorEastAsia"/>
          <w:color w:val="000000"/>
          <w:bdr w:val="none" w:sz="0" w:space="0" w:color="auto"/>
        </w:rPr>
        <w:t>Here di is the number of death at the mid-point of each age group (i), W</w:t>
      </w:r>
      <w:r>
        <w:rPr>
          <w:rFonts w:eastAsiaTheme="minorEastAsia"/>
          <w:color w:val="000000"/>
          <w:bdr w:val="none" w:sz="0" w:space="0" w:color="auto"/>
          <w:vertAlign w:val="subscript"/>
        </w:rPr>
        <w:t>U</w:t>
      </w:r>
      <w:r>
        <w:rPr>
          <w:rFonts w:eastAsiaTheme="minorEastAsia"/>
          <w:color w:val="000000"/>
          <w:bdr w:val="none" w:sz="0" w:space="0" w:color="auto"/>
        </w:rPr>
        <w:t xml:space="preserve"> is the age of retirement (65), and W</w:t>
      </w:r>
      <w:r>
        <w:rPr>
          <w:rFonts w:eastAsiaTheme="minorEastAsia"/>
          <w:color w:val="000000"/>
          <w:bdr w:val="none" w:sz="0" w:space="0" w:color="auto"/>
          <w:vertAlign w:val="subscript"/>
        </w:rPr>
        <w:t>L</w:t>
      </w:r>
      <w:r>
        <w:rPr>
          <w:rFonts w:eastAsiaTheme="minorEastAsia"/>
          <w:color w:val="000000"/>
          <w:bdr w:val="none" w:sz="0" w:space="0" w:color="auto"/>
        </w:rPr>
        <w:t xml:space="preserve"> is the lowest productive age (15). </w:t>
      </w:r>
    </w:p>
    <w:p w14:paraId="087F0A28" w14:textId="77777777" w:rsidR="003160D2" w:rsidRDefault="003160D2" w:rsidP="003160D2">
      <w:pPr>
        <w:pBdr>
          <w:top w:val="none" w:sz="0" w:space="0" w:color="auto"/>
          <w:left w:val="none" w:sz="0" w:space="0" w:color="auto"/>
          <w:bottom w:val="none" w:sz="0" w:space="0" w:color="auto"/>
          <w:right w:val="none" w:sz="0" w:space="0" w:color="auto"/>
          <w:between w:val="none" w:sz="0" w:space="0" w:color="auto"/>
          <w:bar w:val="none" w:sz="0" w:color="auto"/>
        </w:pBdr>
        <w:spacing w:before="166" w:after="166"/>
        <w:jc w:val="both"/>
        <w:rPr>
          <w:rFonts w:eastAsiaTheme="minorHAnsi"/>
          <w:color w:val="000000"/>
          <w:bdr w:val="none" w:sz="0" w:space="0" w:color="auto"/>
        </w:rPr>
      </w:pPr>
      <w:r w:rsidRPr="008B6D99">
        <w:rPr>
          <w:rFonts w:eastAsiaTheme="minorHAnsi"/>
          <w:color w:val="000000"/>
          <w:bdr w:val="none" w:sz="0" w:space="0" w:color="auto"/>
        </w:rPr>
        <w:t>Third, the calculated YPPLL was multiplied by age and sex-specific annual wages</w:t>
      </w:r>
      <w:r>
        <w:rPr>
          <w:rFonts w:eastAsiaTheme="minorHAnsi"/>
          <w:color w:val="000000"/>
          <w:bdr w:val="none" w:sz="0" w:space="0" w:color="auto"/>
        </w:rPr>
        <w:t xml:space="preserve"> (women)</w:t>
      </w:r>
      <w:r w:rsidRPr="008B6D99">
        <w:rPr>
          <w:rFonts w:eastAsiaTheme="minorHAnsi"/>
          <w:color w:val="000000"/>
          <w:bdr w:val="none" w:sz="0" w:space="0" w:color="auto"/>
        </w:rPr>
        <w:t xml:space="preserve"> from age of deaths until the retirement age. The estimated costs of lost productivity were adjusted based on the employment and housekeeping rate</w:t>
      </w:r>
      <w:r>
        <w:rPr>
          <w:rFonts w:eastAsiaTheme="minorHAnsi"/>
          <w:color w:val="000000"/>
          <w:bdr w:val="none" w:sz="0" w:space="0" w:color="auto"/>
        </w:rPr>
        <w:t xml:space="preserve"> for the year of interest</w:t>
      </w:r>
      <w:r w:rsidRPr="008B6D99">
        <w:rPr>
          <w:rFonts w:eastAsiaTheme="minorHAnsi"/>
          <w:color w:val="000000"/>
          <w:bdr w:val="none" w:sz="0" w:space="0" w:color="auto"/>
        </w:rPr>
        <w:t xml:space="preserve">. Moreover, to obtain the present value, the future costs were discounted at </w:t>
      </w:r>
      <w:r>
        <w:rPr>
          <w:rFonts w:eastAsiaTheme="minorHAnsi"/>
          <w:color w:val="000000"/>
          <w:bdr w:val="none" w:sz="0" w:space="0" w:color="auto"/>
        </w:rPr>
        <w:t>4</w:t>
      </w:r>
      <w:r w:rsidRPr="008B6D99">
        <w:rPr>
          <w:rFonts w:eastAsiaTheme="minorHAnsi"/>
          <w:color w:val="000000"/>
          <w:bdr w:val="none" w:sz="0" w:space="0" w:color="auto"/>
        </w:rPr>
        <w:t xml:space="preserve">% per year. </w:t>
      </w:r>
      <w:r>
        <w:rPr>
          <w:rFonts w:eastAsiaTheme="minorHAnsi"/>
          <w:color w:val="000000"/>
          <w:bdr w:val="none" w:sz="0" w:space="0" w:color="auto"/>
        </w:rPr>
        <w:t xml:space="preserve">Future wages where adjusted for the average annual wage growth rate for the Netherlands which was 1.5% between 1991 and 2016. </w:t>
      </w:r>
      <w:r w:rsidRPr="008B6D99">
        <w:rPr>
          <w:rFonts w:eastAsiaTheme="minorHAnsi"/>
          <w:color w:val="000000"/>
          <w:bdr w:val="none" w:sz="0" w:space="0" w:color="auto"/>
        </w:rPr>
        <w:t>Cost of productivity loss for e</w:t>
      </w:r>
      <w:r>
        <w:rPr>
          <w:rFonts w:eastAsiaTheme="minorHAnsi"/>
          <w:color w:val="000000"/>
          <w:bdr w:val="none" w:sz="0" w:space="0" w:color="auto"/>
        </w:rPr>
        <w:t>ach death was summed across age groups.</w:t>
      </w:r>
    </w:p>
    <w:p w14:paraId="0CB547A6" w14:textId="48E2113B" w:rsidR="003160D2" w:rsidRPr="008B6D99" w:rsidRDefault="003160D2" w:rsidP="003160D2">
      <w:pPr>
        <w:pBdr>
          <w:top w:val="none" w:sz="0" w:space="0" w:color="auto"/>
          <w:left w:val="none" w:sz="0" w:space="0" w:color="auto"/>
          <w:bottom w:val="none" w:sz="0" w:space="0" w:color="auto"/>
          <w:right w:val="none" w:sz="0" w:space="0" w:color="auto"/>
          <w:between w:val="none" w:sz="0" w:space="0" w:color="auto"/>
          <w:bar w:val="none" w:sz="0" w:color="auto"/>
        </w:pBdr>
        <w:spacing w:before="166" w:after="166"/>
        <w:jc w:val="both"/>
        <w:rPr>
          <w:rFonts w:eastAsiaTheme="minorHAnsi"/>
          <w:color w:val="000000"/>
          <w:bdr w:val="none" w:sz="0" w:space="0" w:color="auto"/>
        </w:rPr>
      </w:pPr>
      <w:r>
        <w:rPr>
          <w:rFonts w:eastAsiaTheme="minorHAnsi"/>
          <w:color w:val="000000"/>
          <w:bdr w:val="none" w:sz="0" w:space="0" w:color="auto"/>
        </w:rPr>
        <w:t xml:space="preserve">Productivity losses due to morbidity where calculated the same way although the time frame was here limited from the moment of diagnosis until median duration of absence from work </w:t>
      </w:r>
      <w:r>
        <w:rPr>
          <w:rFonts w:eastAsiaTheme="minorHAnsi"/>
          <w:color w:val="000000"/>
          <w:bdr w:val="none" w:sz="0" w:space="0" w:color="auto"/>
        </w:rPr>
        <w:lastRenderedPageBreak/>
        <w:t>which was 17 months in the Netherlands. Additionally, a factor was taken into account for the fraction of patients that stop working after being diagnosed with breast cancer which was 75% of the breast cancer patients in the Netherlands.</w:t>
      </w:r>
      <w:r w:rsidR="00AF37A7">
        <w:rPr>
          <w:rFonts w:eastAsiaTheme="minorHAnsi"/>
          <w:color w:val="000000"/>
          <w:bdr w:val="none" w:sz="0" w:space="0" w:color="auto"/>
        </w:rPr>
        <w:t xml:space="preserve"> This </w:t>
      </w:r>
      <w:r w:rsidR="00AF37A7" w:rsidRPr="00AF37A7">
        <w:rPr>
          <w:rFonts w:eastAsiaTheme="minorHAnsi"/>
          <w:color w:val="000000"/>
          <w:bdr w:val="none" w:sz="0" w:space="0" w:color="auto"/>
        </w:rPr>
        <w:t>Data on temporary disability as time absent from work for each patient was obtained from both Cancer for Care, an organization for re-integration of cancer patients, and data from the Boer et a</w:t>
      </w:r>
      <w:r w:rsidR="00AF37A7" w:rsidRPr="009E178B">
        <w:rPr>
          <w:rFonts w:ascii="Calibri" w:hAnsi="Calibri"/>
          <w:color w:val="000000" w:themeColor="text1"/>
        </w:rPr>
        <w:t xml:space="preserve">l </w:t>
      </w:r>
      <w:r w:rsidR="00AF37A7">
        <w:rPr>
          <w:rFonts w:ascii="Calibri" w:hAnsi="Calibri"/>
          <w:color w:val="000000" w:themeColor="text1"/>
        </w:rPr>
        <w:fldChar w:fldCharType="begin"/>
      </w:r>
      <w:r w:rsidR="00AF37A7">
        <w:rPr>
          <w:rFonts w:ascii="Calibri" w:hAnsi="Calibri"/>
          <w:color w:val="000000" w:themeColor="text1"/>
        </w:rPr>
        <w:instrText xml:space="preserve"> ADDIN EN.CITE &lt;EndNote&gt;&lt;Cite&gt;&lt;Author&gt;de Boer&lt;/Author&gt;&lt;Year&gt;2008&lt;/Year&gt;&lt;RecNum&gt;42&lt;/RecNum&gt;&lt;DisplayText&gt;[4]&lt;/DisplayText&gt;&lt;record&gt;&lt;rec-number&gt;42&lt;/rec-number&gt;&lt;foreign-keys&gt;&lt;key app="EN" db-id="2f5aar92r2exz1es9da5a0rfsstr5zaf92rs" timestamp="1491821624"&gt;42&lt;/key&gt;&lt;/foreign-keys&gt;&lt;ref-type name="Journal Article"&gt;17&lt;/ref-type&gt;&lt;contributors&gt;&lt;authors&gt;&lt;author&gt;de Boer, A. G. E. M.&lt;/author&gt;&lt;author&gt;Verbeek, J. H. A. M.&lt;/author&gt;&lt;author&gt;Spelten, E. R.&lt;/author&gt;&lt;author&gt;Uitterhoeve, A. L. J.&lt;/author&gt;&lt;author&gt;Ansink, A. C.&lt;/author&gt;&lt;author&gt;de Reijke, T. M.&lt;/author&gt;&lt;author&gt;Kammeijer, M.&lt;/author&gt;&lt;author&gt;Sprangers, M. A. G.&lt;/author&gt;&lt;author&gt;van Dijk, F. J. H.&lt;/author&gt;&lt;/authors&gt;&lt;/contributors&gt;&lt;titles&gt;&lt;title&gt;Work ability and return-to-work in cancer patients&lt;/title&gt;&lt;secondary-title&gt;British Journal of Cancer&lt;/secondary-title&gt;&lt;/titles&gt;&lt;periodical&gt;&lt;full-title&gt;Br J Cancer&lt;/full-title&gt;&lt;abbr-1&gt;British journal of cancer&lt;/abbr-1&gt;&lt;/periodical&gt;&lt;pages&gt;1342-1347&lt;/pages&gt;&lt;volume&gt;98&lt;/volume&gt;&lt;number&gt;8&lt;/number&gt;&lt;dates&gt;&lt;year&gt;2008&lt;/year&gt;&lt;pub-dates&gt;&lt;date&gt;03/18&amp;#xD;11/06/received&amp;#xD;02/07/revised&amp;#xD;02/11/accepted&lt;/date&gt;&lt;/pub-dates&gt;&lt;/dates&gt;&lt;publisher&gt;Nature Publishing Group&lt;/publisher&gt;&lt;isbn&gt;0007-0920&amp;#xD;1532-1827&lt;/isbn&gt;&lt;accession-num&gt;PMC2361697&lt;/accession-num&gt;&lt;urls&gt;&lt;related-urls&gt;&lt;url&gt;http://www.ncbi.nlm.nih.gov/pmc/articles/PMC2361697/&lt;/url&gt;&lt;/related-urls&gt;&lt;/urls&gt;&lt;electronic-resource-num&gt;10.1038/sj.bjc.6604302&lt;/electronic-resource-num&gt;&lt;remote-database-name&gt;PMC&lt;/remote-database-name&gt;&lt;/record&gt;&lt;/Cite&gt;&lt;/EndNote&gt;</w:instrText>
      </w:r>
      <w:r w:rsidR="00AF37A7">
        <w:rPr>
          <w:rFonts w:ascii="Calibri" w:hAnsi="Calibri"/>
          <w:color w:val="000000" w:themeColor="text1"/>
        </w:rPr>
        <w:fldChar w:fldCharType="separate"/>
      </w:r>
      <w:r w:rsidR="00AF37A7">
        <w:rPr>
          <w:rFonts w:ascii="Calibri" w:hAnsi="Calibri"/>
          <w:noProof/>
          <w:color w:val="000000" w:themeColor="text1"/>
        </w:rPr>
        <w:t>[4]</w:t>
      </w:r>
      <w:r w:rsidR="00AF37A7">
        <w:rPr>
          <w:rFonts w:ascii="Calibri" w:hAnsi="Calibri"/>
          <w:color w:val="000000" w:themeColor="text1"/>
        </w:rPr>
        <w:fldChar w:fldCharType="end"/>
      </w:r>
      <w:r w:rsidR="00AF37A7">
        <w:rPr>
          <w:rFonts w:ascii="Calibri" w:hAnsi="Calibri"/>
          <w:color w:val="000000" w:themeColor="text1"/>
        </w:rPr>
        <w:t>.</w:t>
      </w:r>
    </w:p>
    <w:p w14:paraId="04ABF80D" w14:textId="77777777" w:rsidR="003160D2" w:rsidRDefault="003160D2" w:rsidP="00FC2EE2">
      <w:pPr>
        <w:pStyle w:val="Default"/>
        <w:spacing w:line="360" w:lineRule="auto"/>
        <w:jc w:val="both"/>
        <w:rPr>
          <w:rFonts w:ascii="Calibri" w:hAnsi="Calibri"/>
          <w:b/>
          <w:color w:val="000000" w:themeColor="text1"/>
        </w:rPr>
      </w:pPr>
    </w:p>
    <w:p w14:paraId="410DE934" w14:textId="77777777" w:rsidR="000C5F45" w:rsidRPr="009E178B" w:rsidRDefault="000C5F45" w:rsidP="00FC2EE2">
      <w:pPr>
        <w:pStyle w:val="Default"/>
        <w:spacing w:line="360" w:lineRule="auto"/>
        <w:jc w:val="both"/>
        <w:rPr>
          <w:rFonts w:ascii="Calibri" w:hAnsi="Calibri"/>
          <w:color w:val="000000" w:themeColor="text1"/>
        </w:rPr>
      </w:pPr>
    </w:p>
    <w:p w14:paraId="145763AB" w14:textId="77777777" w:rsidR="005945E7" w:rsidRDefault="005945E7" w:rsidP="00FC2EE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Unicode MS"/>
          <w:color w:val="000000" w:themeColor="text1"/>
          <w:u w:color="000000"/>
        </w:rPr>
      </w:pPr>
    </w:p>
    <w:p w14:paraId="77974965" w14:textId="64693A87" w:rsidR="005945E7" w:rsidRPr="009E178B" w:rsidRDefault="005459B3" w:rsidP="00FC2EE2">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color w:val="000000" w:themeColor="text1"/>
        </w:rPr>
      </w:pPr>
      <w:r>
        <w:rPr>
          <w:color w:val="000000" w:themeColor="text1"/>
        </w:rPr>
        <w:t>Table S1</w:t>
      </w:r>
      <w:r w:rsidR="005945E7" w:rsidRPr="009E178B">
        <w:rPr>
          <w:color w:val="000000" w:themeColor="text1"/>
        </w:rPr>
        <w:t>. 10-year overall survival for breast cancer between 1989 and 1992 by stage of diagnosis</w:t>
      </w:r>
    </w:p>
    <w:p w14:paraId="01E7A354" w14:textId="77777777" w:rsidR="005945E7" w:rsidRPr="00B81ADF" w:rsidRDefault="005945E7" w:rsidP="00FC2EE2">
      <w:pPr>
        <w:jc w:val="both"/>
        <w:rPr>
          <w:rFonts w:ascii="Calibri" w:hAnsi="Calibri"/>
          <w:color w:val="000000" w:themeColor="text1"/>
        </w:rPr>
      </w:pPr>
      <w:r w:rsidRPr="00B81ADF">
        <w:rPr>
          <w:rFonts w:ascii="Calibri" w:hAnsi="Calibri"/>
          <w:noProof/>
        </w:rPr>
        <w:drawing>
          <wp:inline distT="0" distB="0" distL="0" distR="0" wp14:anchorId="4AD0511F" wp14:editId="34C4E522">
            <wp:extent cx="6642100" cy="1097843"/>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42100" cy="1097843"/>
                    </a:xfrm>
                    <a:prstGeom prst="rect">
                      <a:avLst/>
                    </a:prstGeom>
                    <a:noFill/>
                    <a:ln>
                      <a:noFill/>
                    </a:ln>
                  </pic:spPr>
                </pic:pic>
              </a:graphicData>
            </a:graphic>
          </wp:inline>
        </w:drawing>
      </w:r>
    </w:p>
    <w:p w14:paraId="2E7175E7" w14:textId="77777777" w:rsidR="005945E7" w:rsidRDefault="005945E7" w:rsidP="00FC2EE2">
      <w:pPr>
        <w:jc w:val="both"/>
        <w:rPr>
          <w:rFonts w:ascii="Calibri" w:hAnsi="Calibri"/>
          <w:color w:val="000000" w:themeColor="text1"/>
        </w:rPr>
      </w:pPr>
    </w:p>
    <w:p w14:paraId="51C4F516" w14:textId="2C02F91F" w:rsidR="005945E7" w:rsidRPr="00B81ADF" w:rsidRDefault="005945E7" w:rsidP="00FC2EE2">
      <w:pPr>
        <w:jc w:val="both"/>
        <w:rPr>
          <w:rFonts w:ascii="Calibri" w:hAnsi="Calibri"/>
          <w:color w:val="000000" w:themeColor="text1"/>
        </w:rPr>
      </w:pPr>
      <w:r w:rsidRPr="00B81ADF">
        <w:rPr>
          <w:rFonts w:ascii="Calibri" w:hAnsi="Calibri"/>
          <w:color w:val="000000" w:themeColor="text1"/>
        </w:rPr>
        <w:t xml:space="preserve">Table </w:t>
      </w:r>
      <w:r w:rsidR="005459B3">
        <w:rPr>
          <w:rFonts w:ascii="Calibri" w:hAnsi="Calibri"/>
          <w:color w:val="000000" w:themeColor="text1"/>
        </w:rPr>
        <w:t>S</w:t>
      </w:r>
      <w:r w:rsidRPr="00B81ADF">
        <w:rPr>
          <w:rFonts w:ascii="Calibri" w:hAnsi="Calibri"/>
          <w:color w:val="000000" w:themeColor="text1"/>
        </w:rPr>
        <w:t>2. 10-year overall survival for breast cancer between 1992 and 1998 by stage of diagnosis</w:t>
      </w:r>
    </w:p>
    <w:p w14:paraId="0BFB397E" w14:textId="77777777" w:rsidR="005945E7" w:rsidRPr="00B81ADF" w:rsidRDefault="005945E7" w:rsidP="00FC2EE2">
      <w:pPr>
        <w:jc w:val="both"/>
        <w:rPr>
          <w:rFonts w:ascii="Calibri" w:hAnsi="Calibri"/>
          <w:color w:val="000000" w:themeColor="text1"/>
        </w:rPr>
      </w:pPr>
      <w:r w:rsidRPr="00B81ADF">
        <w:rPr>
          <w:rFonts w:ascii="Calibri" w:hAnsi="Calibri"/>
          <w:noProof/>
        </w:rPr>
        <w:drawing>
          <wp:inline distT="0" distB="0" distL="0" distR="0" wp14:anchorId="00971F26" wp14:editId="4092A775">
            <wp:extent cx="6642100" cy="1084455"/>
            <wp:effectExtent l="0" t="0" r="635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2100" cy="1084455"/>
                    </a:xfrm>
                    <a:prstGeom prst="rect">
                      <a:avLst/>
                    </a:prstGeom>
                    <a:noFill/>
                    <a:ln>
                      <a:noFill/>
                    </a:ln>
                  </pic:spPr>
                </pic:pic>
              </a:graphicData>
            </a:graphic>
          </wp:inline>
        </w:drawing>
      </w:r>
    </w:p>
    <w:p w14:paraId="3FD94AD9" w14:textId="77777777" w:rsidR="005945E7" w:rsidRDefault="005945E7" w:rsidP="00FC2EE2">
      <w:pPr>
        <w:jc w:val="both"/>
        <w:rPr>
          <w:rFonts w:ascii="Calibri" w:hAnsi="Calibri"/>
          <w:color w:val="000000" w:themeColor="text1"/>
        </w:rPr>
      </w:pPr>
    </w:p>
    <w:p w14:paraId="0E1949E4" w14:textId="719F9807" w:rsidR="005945E7" w:rsidRPr="00B81ADF" w:rsidRDefault="005945E7" w:rsidP="00FC2EE2">
      <w:pPr>
        <w:jc w:val="both"/>
        <w:rPr>
          <w:rFonts w:ascii="Calibri" w:hAnsi="Calibri"/>
          <w:color w:val="000000" w:themeColor="text1"/>
        </w:rPr>
      </w:pPr>
      <w:r w:rsidRPr="00B81ADF">
        <w:rPr>
          <w:rFonts w:ascii="Calibri" w:hAnsi="Calibri"/>
          <w:color w:val="000000" w:themeColor="text1"/>
        </w:rPr>
        <w:t xml:space="preserve">Table </w:t>
      </w:r>
      <w:r w:rsidR="005459B3">
        <w:rPr>
          <w:rFonts w:ascii="Calibri" w:hAnsi="Calibri"/>
          <w:color w:val="000000" w:themeColor="text1"/>
        </w:rPr>
        <w:t>S</w:t>
      </w:r>
      <w:r w:rsidRPr="00B81ADF">
        <w:rPr>
          <w:rFonts w:ascii="Calibri" w:hAnsi="Calibri"/>
          <w:color w:val="000000" w:themeColor="text1"/>
        </w:rPr>
        <w:t>3. 10-year overall survival for breast cancer between 1999 and 2002 by stage of diagnosis</w:t>
      </w:r>
    </w:p>
    <w:p w14:paraId="7B34683F" w14:textId="77777777" w:rsidR="005945E7" w:rsidRPr="00B81ADF" w:rsidRDefault="005945E7" w:rsidP="00FC2EE2">
      <w:pPr>
        <w:jc w:val="both"/>
        <w:rPr>
          <w:rFonts w:ascii="Calibri" w:hAnsi="Calibri"/>
          <w:color w:val="000000" w:themeColor="text1"/>
        </w:rPr>
      </w:pPr>
      <w:r w:rsidRPr="00B81ADF">
        <w:rPr>
          <w:rFonts w:ascii="Calibri" w:hAnsi="Calibri"/>
          <w:noProof/>
        </w:rPr>
        <w:drawing>
          <wp:inline distT="0" distB="0" distL="0" distR="0" wp14:anchorId="552F0540" wp14:editId="07E95413">
            <wp:extent cx="6642100" cy="1057678"/>
            <wp:effectExtent l="0" t="0" r="635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2100" cy="1057678"/>
                    </a:xfrm>
                    <a:prstGeom prst="rect">
                      <a:avLst/>
                    </a:prstGeom>
                    <a:noFill/>
                    <a:ln>
                      <a:noFill/>
                    </a:ln>
                  </pic:spPr>
                </pic:pic>
              </a:graphicData>
            </a:graphic>
          </wp:inline>
        </w:drawing>
      </w:r>
    </w:p>
    <w:p w14:paraId="24903079" w14:textId="77777777" w:rsidR="005945E7" w:rsidRPr="00B81ADF" w:rsidRDefault="005945E7" w:rsidP="00FC2EE2">
      <w:pPr>
        <w:jc w:val="both"/>
        <w:rPr>
          <w:rFonts w:ascii="Calibri" w:hAnsi="Calibri"/>
          <w:color w:val="000000" w:themeColor="text1"/>
        </w:rPr>
      </w:pPr>
    </w:p>
    <w:p w14:paraId="4AA067E6" w14:textId="77777777" w:rsidR="005945E7" w:rsidRPr="00B81ADF" w:rsidRDefault="005945E7" w:rsidP="00FC2EE2">
      <w:pPr>
        <w:jc w:val="both"/>
        <w:rPr>
          <w:rFonts w:ascii="Calibri" w:hAnsi="Calibri"/>
          <w:color w:val="000000" w:themeColor="text1"/>
        </w:rPr>
      </w:pPr>
    </w:p>
    <w:p w14:paraId="06BEC983" w14:textId="77777777" w:rsidR="005945E7" w:rsidRPr="00B81ADF" w:rsidRDefault="005945E7" w:rsidP="00FC2EE2">
      <w:pPr>
        <w:jc w:val="both"/>
        <w:rPr>
          <w:rFonts w:ascii="Calibri" w:hAnsi="Calibri"/>
          <w:color w:val="000000" w:themeColor="text1"/>
        </w:rPr>
      </w:pPr>
    </w:p>
    <w:p w14:paraId="604549BB" w14:textId="77777777" w:rsidR="005945E7" w:rsidRPr="00B81ADF" w:rsidRDefault="005945E7" w:rsidP="00FC2EE2">
      <w:pPr>
        <w:jc w:val="both"/>
        <w:rPr>
          <w:rFonts w:ascii="Calibri" w:hAnsi="Calibri"/>
          <w:color w:val="000000" w:themeColor="text1"/>
        </w:rPr>
      </w:pPr>
    </w:p>
    <w:p w14:paraId="5D2A6C0A" w14:textId="77777777" w:rsidR="005945E7" w:rsidRDefault="005945E7" w:rsidP="00FC2EE2">
      <w:pPr>
        <w:jc w:val="both"/>
        <w:rPr>
          <w:rFonts w:ascii="Calibri" w:hAnsi="Calibri"/>
          <w:color w:val="000000" w:themeColor="text1"/>
        </w:rPr>
      </w:pPr>
    </w:p>
    <w:p w14:paraId="3F7FA50F" w14:textId="75AC2F7A" w:rsidR="005945E7" w:rsidRPr="00B81ADF" w:rsidRDefault="005945E7" w:rsidP="00FC2EE2">
      <w:pPr>
        <w:jc w:val="both"/>
        <w:rPr>
          <w:rFonts w:ascii="Calibri" w:hAnsi="Calibri"/>
          <w:color w:val="000000" w:themeColor="text1"/>
        </w:rPr>
      </w:pPr>
      <w:r w:rsidRPr="00B81ADF">
        <w:rPr>
          <w:rFonts w:ascii="Calibri" w:hAnsi="Calibri"/>
          <w:color w:val="000000" w:themeColor="text1"/>
        </w:rPr>
        <w:t xml:space="preserve">Table </w:t>
      </w:r>
      <w:r w:rsidR="005459B3">
        <w:rPr>
          <w:rFonts w:ascii="Calibri" w:hAnsi="Calibri"/>
          <w:color w:val="000000" w:themeColor="text1"/>
        </w:rPr>
        <w:t>S</w:t>
      </w:r>
      <w:r w:rsidRPr="00B81ADF">
        <w:rPr>
          <w:rFonts w:ascii="Calibri" w:hAnsi="Calibri"/>
          <w:color w:val="000000" w:themeColor="text1"/>
        </w:rPr>
        <w:t>4. 10-year overall survival for breast cancer between 2003 and 2009 by stage of diagnosis</w:t>
      </w:r>
    </w:p>
    <w:p w14:paraId="1EEBF9BB" w14:textId="77777777" w:rsidR="005945E7" w:rsidRPr="00B81ADF" w:rsidRDefault="005945E7" w:rsidP="00FC2EE2">
      <w:pPr>
        <w:jc w:val="both"/>
        <w:rPr>
          <w:rFonts w:ascii="Calibri" w:hAnsi="Calibri"/>
          <w:color w:val="000000" w:themeColor="text1"/>
        </w:rPr>
      </w:pPr>
      <w:r w:rsidRPr="00B81ADF">
        <w:rPr>
          <w:rFonts w:ascii="Calibri" w:hAnsi="Calibri"/>
          <w:noProof/>
        </w:rPr>
        <w:lastRenderedPageBreak/>
        <w:drawing>
          <wp:inline distT="0" distB="0" distL="0" distR="0" wp14:anchorId="1D4B1EFE" wp14:editId="65F0B1B1">
            <wp:extent cx="6642100" cy="1354205"/>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42100" cy="1354205"/>
                    </a:xfrm>
                    <a:prstGeom prst="rect">
                      <a:avLst/>
                    </a:prstGeom>
                    <a:noFill/>
                    <a:ln>
                      <a:noFill/>
                    </a:ln>
                  </pic:spPr>
                </pic:pic>
              </a:graphicData>
            </a:graphic>
          </wp:inline>
        </w:drawing>
      </w:r>
    </w:p>
    <w:p w14:paraId="5DD84722" w14:textId="77777777" w:rsidR="005945E7" w:rsidRDefault="005945E7" w:rsidP="00FC2EE2">
      <w:pPr>
        <w:jc w:val="both"/>
        <w:rPr>
          <w:rFonts w:ascii="Calibri" w:hAnsi="Calibri"/>
          <w:color w:val="000000" w:themeColor="text1"/>
        </w:rPr>
      </w:pPr>
    </w:p>
    <w:p w14:paraId="4D2DD923" w14:textId="196E2D93" w:rsidR="005945E7" w:rsidRPr="00B81ADF" w:rsidRDefault="005945E7" w:rsidP="00FC2EE2">
      <w:pPr>
        <w:jc w:val="both"/>
        <w:rPr>
          <w:rFonts w:ascii="Calibri" w:hAnsi="Calibri"/>
          <w:color w:val="000000" w:themeColor="text1"/>
        </w:rPr>
      </w:pPr>
      <w:r w:rsidRPr="00B81ADF">
        <w:rPr>
          <w:rFonts w:ascii="Calibri" w:hAnsi="Calibri"/>
          <w:color w:val="000000" w:themeColor="text1"/>
        </w:rPr>
        <w:t xml:space="preserve">Table </w:t>
      </w:r>
      <w:r w:rsidR="00B15A52">
        <w:rPr>
          <w:rFonts w:ascii="Calibri" w:hAnsi="Calibri"/>
          <w:color w:val="000000" w:themeColor="text1"/>
        </w:rPr>
        <w:t>S</w:t>
      </w:r>
      <w:r w:rsidRPr="00B81ADF">
        <w:rPr>
          <w:rFonts w:ascii="Calibri" w:hAnsi="Calibri"/>
          <w:color w:val="000000" w:themeColor="text1"/>
        </w:rPr>
        <w:t>5. 10-year overall survival for breast cancer between 2010 and 2013 by stage of diagnosis</w:t>
      </w:r>
    </w:p>
    <w:p w14:paraId="72F0023B" w14:textId="77777777" w:rsidR="005945E7" w:rsidRPr="009E178B" w:rsidRDefault="005945E7" w:rsidP="00FC2EE2">
      <w:pPr>
        <w:pStyle w:val="Default"/>
        <w:spacing w:line="360" w:lineRule="auto"/>
        <w:jc w:val="both"/>
        <w:rPr>
          <w:rFonts w:ascii="Calibri" w:hAnsi="Calibri"/>
          <w:color w:val="000000" w:themeColor="text1"/>
        </w:rPr>
      </w:pPr>
      <w:r w:rsidRPr="00B81ADF">
        <w:rPr>
          <w:rFonts w:ascii="Calibri" w:hAnsi="Calibri"/>
          <w:noProof/>
        </w:rPr>
        <w:drawing>
          <wp:inline distT="0" distB="0" distL="0" distR="0" wp14:anchorId="5DDDAEB6" wp14:editId="1C846D09">
            <wp:extent cx="4166870" cy="1734185"/>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66870" cy="1734185"/>
                    </a:xfrm>
                    <a:prstGeom prst="rect">
                      <a:avLst/>
                    </a:prstGeom>
                    <a:noFill/>
                    <a:ln>
                      <a:noFill/>
                    </a:ln>
                  </pic:spPr>
                </pic:pic>
              </a:graphicData>
            </a:graphic>
          </wp:inline>
        </w:drawing>
      </w:r>
    </w:p>
    <w:p w14:paraId="7C928E8F" w14:textId="77777777" w:rsidR="005945E7" w:rsidRPr="009E178B" w:rsidRDefault="005945E7" w:rsidP="00FC2EE2">
      <w:pPr>
        <w:pStyle w:val="Caption"/>
        <w:spacing w:line="360" w:lineRule="auto"/>
        <w:jc w:val="both"/>
        <w:rPr>
          <w:rFonts w:ascii="Calibri" w:eastAsia="Athelas" w:hAnsi="Calibri" w:cs="Athelas"/>
          <w:color w:val="000000" w:themeColor="text1"/>
          <w:sz w:val="22"/>
          <w:szCs w:val="22"/>
        </w:rPr>
      </w:pPr>
    </w:p>
    <w:p w14:paraId="1D741157" w14:textId="045B3FCA" w:rsidR="005945E7" w:rsidRPr="00B15A52" w:rsidRDefault="005945E7" w:rsidP="00FC2EE2">
      <w:pPr>
        <w:pStyle w:val="Caption"/>
        <w:spacing w:line="360" w:lineRule="auto"/>
        <w:jc w:val="both"/>
        <w:rPr>
          <w:rFonts w:ascii="Calibri" w:eastAsia="Athelas" w:hAnsi="Calibri" w:cs="Athelas"/>
          <w:i w:val="0"/>
          <w:color w:val="000000" w:themeColor="text1"/>
          <w:sz w:val="22"/>
          <w:szCs w:val="22"/>
        </w:rPr>
      </w:pPr>
      <w:r w:rsidRPr="00B15A52">
        <w:rPr>
          <w:rFonts w:ascii="Calibri" w:eastAsia="Athelas" w:hAnsi="Calibri" w:cs="Athelas"/>
          <w:i w:val="0"/>
          <w:color w:val="000000" w:themeColor="text1"/>
          <w:sz w:val="22"/>
          <w:szCs w:val="22"/>
        </w:rPr>
        <w:t xml:space="preserve">Table </w:t>
      </w:r>
      <w:r w:rsidR="00B15A52">
        <w:rPr>
          <w:rFonts w:ascii="Calibri" w:eastAsia="Athelas" w:hAnsi="Calibri" w:cs="Athelas"/>
          <w:i w:val="0"/>
          <w:color w:val="000000" w:themeColor="text1"/>
          <w:sz w:val="22"/>
          <w:szCs w:val="22"/>
        </w:rPr>
        <w:t>S</w:t>
      </w:r>
      <w:r w:rsidRPr="00B15A52">
        <w:rPr>
          <w:rFonts w:ascii="Calibri" w:eastAsia="Athelas" w:hAnsi="Calibri" w:cs="Athelas"/>
          <w:i w:val="0"/>
          <w:color w:val="000000" w:themeColor="text1"/>
          <w:sz w:val="22"/>
          <w:szCs w:val="22"/>
        </w:rPr>
        <w:t>6: Absolute number of Life-years lost due to early mortality by breast cancer</w:t>
      </w:r>
    </w:p>
    <w:tbl>
      <w:tblPr>
        <w:tblW w:w="49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509"/>
        <w:gridCol w:w="1945"/>
        <w:gridCol w:w="1485"/>
      </w:tblGrid>
      <w:tr w:rsidR="005945E7" w:rsidRPr="009E178B" w14:paraId="2BF7C4AF" w14:textId="77777777" w:rsidTr="00C03DC3">
        <w:trPr>
          <w:trHeight w:val="540"/>
        </w:trPr>
        <w:tc>
          <w:tcPr>
            <w:tcW w:w="1509" w:type="dxa"/>
            <w:tcBorders>
              <w:top w:val="nil"/>
              <w:left w:val="nil"/>
              <w:bottom w:val="single" w:sz="4" w:space="0" w:color="000000" w:themeColor="text1"/>
              <w:right w:val="single" w:sz="4" w:space="0" w:color="FFFFFF"/>
            </w:tcBorders>
            <w:shd w:val="clear" w:color="auto" w:fill="E7E6E6"/>
            <w:tcMar>
              <w:top w:w="80" w:type="dxa"/>
              <w:left w:w="80" w:type="dxa"/>
              <w:bottom w:w="80" w:type="dxa"/>
              <w:right w:w="80" w:type="dxa"/>
            </w:tcMar>
            <w:vAlign w:val="bottom"/>
          </w:tcPr>
          <w:p w14:paraId="08CA0728" w14:textId="77777777" w:rsidR="005945E7" w:rsidRPr="009E178B" w:rsidRDefault="005945E7" w:rsidP="00FC2EE2">
            <w:pPr>
              <w:pStyle w:val="Body"/>
              <w:spacing w:line="360" w:lineRule="auto"/>
              <w:jc w:val="both"/>
              <w:rPr>
                <w:color w:val="000000" w:themeColor="text1"/>
              </w:rPr>
            </w:pPr>
            <w:r w:rsidRPr="009E178B">
              <w:rPr>
                <w:color w:val="000000" w:themeColor="text1"/>
                <w:sz w:val="22"/>
                <w:szCs w:val="22"/>
              </w:rPr>
              <w:t>Year</w:t>
            </w:r>
          </w:p>
        </w:tc>
        <w:tc>
          <w:tcPr>
            <w:tcW w:w="1945" w:type="dxa"/>
            <w:tcBorders>
              <w:top w:val="nil"/>
              <w:left w:val="single" w:sz="4" w:space="0" w:color="FFFFFF"/>
              <w:bottom w:val="single" w:sz="4" w:space="0" w:color="000000" w:themeColor="text1"/>
              <w:right w:val="single" w:sz="4" w:space="0" w:color="FFFFFF"/>
            </w:tcBorders>
            <w:shd w:val="clear" w:color="auto" w:fill="E7E6E6"/>
            <w:tcMar>
              <w:top w:w="80" w:type="dxa"/>
              <w:left w:w="80" w:type="dxa"/>
              <w:bottom w:w="80" w:type="dxa"/>
              <w:right w:w="80" w:type="dxa"/>
            </w:tcMar>
            <w:vAlign w:val="bottom"/>
          </w:tcPr>
          <w:p w14:paraId="4981471F" w14:textId="77777777" w:rsidR="005945E7" w:rsidRPr="009E178B" w:rsidRDefault="005945E7" w:rsidP="00FC2EE2">
            <w:pPr>
              <w:pStyle w:val="Body"/>
              <w:spacing w:line="360" w:lineRule="auto"/>
              <w:jc w:val="both"/>
              <w:rPr>
                <w:color w:val="000000" w:themeColor="text1"/>
              </w:rPr>
            </w:pPr>
            <w:r w:rsidRPr="009E178B">
              <w:rPr>
                <w:color w:val="000000" w:themeColor="text1"/>
                <w:sz w:val="22"/>
                <w:szCs w:val="22"/>
              </w:rPr>
              <w:t>Total Life-years Lost (YLL)</w:t>
            </w:r>
          </w:p>
        </w:tc>
        <w:tc>
          <w:tcPr>
            <w:tcW w:w="1485" w:type="dxa"/>
            <w:tcBorders>
              <w:top w:val="nil"/>
              <w:left w:val="single" w:sz="4" w:space="0" w:color="FFFFFF"/>
              <w:bottom w:val="single" w:sz="4" w:space="0" w:color="000000" w:themeColor="text1"/>
              <w:right w:val="nil"/>
            </w:tcBorders>
            <w:shd w:val="clear" w:color="auto" w:fill="E7E6E6"/>
            <w:tcMar>
              <w:top w:w="80" w:type="dxa"/>
              <w:left w:w="80" w:type="dxa"/>
              <w:bottom w:w="80" w:type="dxa"/>
              <w:right w:w="80" w:type="dxa"/>
            </w:tcMar>
            <w:vAlign w:val="bottom"/>
          </w:tcPr>
          <w:p w14:paraId="7F9255F0" w14:textId="77777777" w:rsidR="005945E7" w:rsidRPr="009E178B" w:rsidRDefault="005945E7" w:rsidP="00FC2EE2">
            <w:pPr>
              <w:pStyle w:val="Body"/>
              <w:spacing w:line="360" w:lineRule="auto"/>
              <w:jc w:val="both"/>
              <w:rPr>
                <w:color w:val="000000" w:themeColor="text1"/>
              </w:rPr>
            </w:pPr>
            <w:r w:rsidRPr="009E178B">
              <w:rPr>
                <w:color w:val="000000" w:themeColor="text1"/>
                <w:sz w:val="22"/>
                <w:szCs w:val="22"/>
              </w:rPr>
              <w:t>YLL in good health</w:t>
            </w:r>
          </w:p>
        </w:tc>
      </w:tr>
      <w:tr w:rsidR="005945E7" w:rsidRPr="009E178B" w14:paraId="0CFEF25F" w14:textId="77777777" w:rsidTr="00C03DC3">
        <w:trPr>
          <w:trHeight w:val="280"/>
        </w:trPr>
        <w:tc>
          <w:tcPr>
            <w:tcW w:w="1509" w:type="dxa"/>
            <w:tcBorders>
              <w:top w:val="single" w:sz="4" w:space="0" w:color="000000" w:themeColor="text1"/>
              <w:left w:val="nil"/>
              <w:bottom w:val="nil"/>
              <w:right w:val="single" w:sz="4" w:space="0" w:color="FFFFFF"/>
            </w:tcBorders>
            <w:shd w:val="clear" w:color="auto" w:fill="E7E6E6"/>
            <w:tcMar>
              <w:top w:w="80" w:type="dxa"/>
              <w:left w:w="80" w:type="dxa"/>
              <w:bottom w:w="80" w:type="dxa"/>
              <w:right w:w="80" w:type="dxa"/>
            </w:tcMar>
            <w:vAlign w:val="bottom"/>
          </w:tcPr>
          <w:p w14:paraId="5B414803" w14:textId="77777777" w:rsidR="005945E7" w:rsidRPr="009E178B" w:rsidRDefault="005945E7" w:rsidP="00FC2EE2">
            <w:pPr>
              <w:pStyle w:val="Body"/>
              <w:spacing w:line="360" w:lineRule="auto"/>
              <w:jc w:val="both"/>
              <w:rPr>
                <w:color w:val="000000" w:themeColor="text1"/>
              </w:rPr>
            </w:pPr>
            <w:r w:rsidRPr="009E178B">
              <w:rPr>
                <w:color w:val="000000" w:themeColor="text1"/>
                <w:sz w:val="22"/>
                <w:szCs w:val="22"/>
              </w:rPr>
              <w:t>1990</w:t>
            </w:r>
          </w:p>
        </w:tc>
        <w:tc>
          <w:tcPr>
            <w:tcW w:w="1945" w:type="dxa"/>
            <w:tcBorders>
              <w:top w:val="single" w:sz="4" w:space="0" w:color="000000" w:themeColor="text1"/>
              <w:left w:val="single" w:sz="4" w:space="0" w:color="FFFFFF"/>
              <w:bottom w:val="nil"/>
              <w:right w:val="single" w:sz="4" w:space="0" w:color="FFFFFF"/>
            </w:tcBorders>
            <w:shd w:val="clear" w:color="auto" w:fill="E7E6E6"/>
            <w:tcMar>
              <w:top w:w="80" w:type="dxa"/>
              <w:left w:w="80" w:type="dxa"/>
              <w:bottom w:w="80" w:type="dxa"/>
              <w:right w:w="80" w:type="dxa"/>
            </w:tcMar>
            <w:vAlign w:val="bottom"/>
          </w:tcPr>
          <w:p w14:paraId="72747E24" w14:textId="77777777" w:rsidR="005945E7" w:rsidRPr="009E178B" w:rsidRDefault="005945E7" w:rsidP="00FC2EE2">
            <w:pPr>
              <w:pStyle w:val="Body"/>
              <w:spacing w:line="360" w:lineRule="auto"/>
              <w:jc w:val="both"/>
              <w:rPr>
                <w:color w:val="000000" w:themeColor="text1"/>
              </w:rPr>
            </w:pPr>
            <w:r w:rsidRPr="009E178B">
              <w:rPr>
                <w:color w:val="000000" w:themeColor="text1"/>
                <w:sz w:val="22"/>
                <w:szCs w:val="22"/>
              </w:rPr>
              <w:t>54,261</w:t>
            </w:r>
          </w:p>
        </w:tc>
        <w:tc>
          <w:tcPr>
            <w:tcW w:w="1485" w:type="dxa"/>
            <w:tcBorders>
              <w:top w:val="single" w:sz="4" w:space="0" w:color="000000" w:themeColor="text1"/>
              <w:left w:val="single" w:sz="4" w:space="0" w:color="FFFFFF"/>
              <w:bottom w:val="nil"/>
              <w:right w:val="nil"/>
            </w:tcBorders>
            <w:shd w:val="clear" w:color="auto" w:fill="E7E6E6"/>
            <w:tcMar>
              <w:top w:w="80" w:type="dxa"/>
              <w:left w:w="80" w:type="dxa"/>
              <w:bottom w:w="80" w:type="dxa"/>
              <w:right w:w="80" w:type="dxa"/>
            </w:tcMar>
            <w:vAlign w:val="bottom"/>
          </w:tcPr>
          <w:p w14:paraId="7A183039" w14:textId="77777777" w:rsidR="005945E7" w:rsidRPr="009E178B" w:rsidRDefault="005945E7" w:rsidP="00FC2EE2">
            <w:pPr>
              <w:pStyle w:val="Body"/>
              <w:spacing w:line="360" w:lineRule="auto"/>
              <w:jc w:val="both"/>
              <w:rPr>
                <w:color w:val="000000" w:themeColor="text1"/>
              </w:rPr>
            </w:pPr>
            <w:r w:rsidRPr="009E178B">
              <w:rPr>
                <w:color w:val="000000" w:themeColor="text1"/>
                <w:sz w:val="22"/>
                <w:szCs w:val="22"/>
              </w:rPr>
              <w:t>31,887</w:t>
            </w:r>
          </w:p>
        </w:tc>
      </w:tr>
      <w:tr w:rsidR="005945E7" w:rsidRPr="009E178B" w14:paraId="0CBF4E23" w14:textId="77777777" w:rsidTr="00C03DC3">
        <w:trPr>
          <w:trHeight w:val="280"/>
        </w:trPr>
        <w:tc>
          <w:tcPr>
            <w:tcW w:w="1509" w:type="dxa"/>
            <w:tcBorders>
              <w:top w:val="nil"/>
              <w:left w:val="nil"/>
              <w:bottom w:val="nil"/>
              <w:right w:val="single" w:sz="4" w:space="0" w:color="FFFFFF"/>
            </w:tcBorders>
            <w:shd w:val="clear" w:color="auto" w:fill="E7E6E6"/>
            <w:tcMar>
              <w:top w:w="80" w:type="dxa"/>
              <w:left w:w="80" w:type="dxa"/>
              <w:bottom w:w="80" w:type="dxa"/>
              <w:right w:w="80" w:type="dxa"/>
            </w:tcMar>
            <w:vAlign w:val="bottom"/>
          </w:tcPr>
          <w:p w14:paraId="2BA4DD23" w14:textId="77777777" w:rsidR="005945E7" w:rsidRPr="009E178B" w:rsidRDefault="005945E7" w:rsidP="00FC2EE2">
            <w:pPr>
              <w:pStyle w:val="Body"/>
              <w:spacing w:line="360" w:lineRule="auto"/>
              <w:jc w:val="both"/>
              <w:rPr>
                <w:color w:val="000000" w:themeColor="text1"/>
              </w:rPr>
            </w:pPr>
            <w:r w:rsidRPr="009E178B">
              <w:rPr>
                <w:color w:val="000000" w:themeColor="text1"/>
                <w:sz w:val="22"/>
                <w:szCs w:val="22"/>
              </w:rPr>
              <w:t>1995</w:t>
            </w:r>
          </w:p>
        </w:tc>
        <w:tc>
          <w:tcPr>
            <w:tcW w:w="1945" w:type="dxa"/>
            <w:tcBorders>
              <w:top w:val="nil"/>
              <w:left w:val="single" w:sz="4" w:space="0" w:color="FFFFFF"/>
              <w:bottom w:val="nil"/>
              <w:right w:val="single" w:sz="4" w:space="0" w:color="FFFFFF"/>
            </w:tcBorders>
            <w:shd w:val="clear" w:color="auto" w:fill="E7E6E6"/>
            <w:tcMar>
              <w:top w:w="80" w:type="dxa"/>
              <w:left w:w="80" w:type="dxa"/>
              <w:bottom w:w="80" w:type="dxa"/>
              <w:right w:w="80" w:type="dxa"/>
            </w:tcMar>
            <w:vAlign w:val="bottom"/>
          </w:tcPr>
          <w:p w14:paraId="6EC44B26" w14:textId="77777777" w:rsidR="005945E7" w:rsidRPr="009E178B" w:rsidRDefault="005945E7" w:rsidP="00FC2EE2">
            <w:pPr>
              <w:pStyle w:val="Body"/>
              <w:spacing w:line="360" w:lineRule="auto"/>
              <w:jc w:val="both"/>
              <w:rPr>
                <w:color w:val="000000" w:themeColor="text1"/>
              </w:rPr>
            </w:pPr>
            <w:r w:rsidRPr="009E178B">
              <w:rPr>
                <w:color w:val="000000" w:themeColor="text1"/>
                <w:sz w:val="22"/>
                <w:szCs w:val="22"/>
              </w:rPr>
              <w:t>54,399</w:t>
            </w:r>
          </w:p>
        </w:tc>
        <w:tc>
          <w:tcPr>
            <w:tcW w:w="1485" w:type="dxa"/>
            <w:tcBorders>
              <w:top w:val="nil"/>
              <w:left w:val="single" w:sz="4" w:space="0" w:color="FFFFFF"/>
              <w:bottom w:val="nil"/>
              <w:right w:val="nil"/>
            </w:tcBorders>
            <w:shd w:val="clear" w:color="auto" w:fill="E7E6E6"/>
            <w:tcMar>
              <w:top w:w="80" w:type="dxa"/>
              <w:left w:w="80" w:type="dxa"/>
              <w:bottom w:w="80" w:type="dxa"/>
              <w:right w:w="80" w:type="dxa"/>
            </w:tcMar>
            <w:vAlign w:val="bottom"/>
          </w:tcPr>
          <w:p w14:paraId="7B83DCEC" w14:textId="77777777" w:rsidR="005945E7" w:rsidRPr="009E178B" w:rsidRDefault="005945E7" w:rsidP="00FC2EE2">
            <w:pPr>
              <w:pStyle w:val="Body"/>
              <w:spacing w:line="360" w:lineRule="auto"/>
              <w:jc w:val="both"/>
              <w:rPr>
                <w:color w:val="000000" w:themeColor="text1"/>
              </w:rPr>
            </w:pPr>
            <w:r w:rsidRPr="009E178B">
              <w:rPr>
                <w:color w:val="000000" w:themeColor="text1"/>
                <w:sz w:val="22"/>
                <w:szCs w:val="22"/>
              </w:rPr>
              <w:t>30,567</w:t>
            </w:r>
          </w:p>
        </w:tc>
      </w:tr>
      <w:tr w:rsidR="005945E7" w:rsidRPr="009E178B" w14:paraId="2BBAA881" w14:textId="77777777" w:rsidTr="00C03DC3">
        <w:trPr>
          <w:trHeight w:val="280"/>
        </w:trPr>
        <w:tc>
          <w:tcPr>
            <w:tcW w:w="1509" w:type="dxa"/>
            <w:tcBorders>
              <w:top w:val="nil"/>
              <w:left w:val="nil"/>
              <w:bottom w:val="nil"/>
              <w:right w:val="single" w:sz="4" w:space="0" w:color="FFFFFF"/>
            </w:tcBorders>
            <w:shd w:val="clear" w:color="auto" w:fill="E7E6E6"/>
            <w:tcMar>
              <w:top w:w="80" w:type="dxa"/>
              <w:left w:w="80" w:type="dxa"/>
              <w:bottom w:w="80" w:type="dxa"/>
              <w:right w:w="80" w:type="dxa"/>
            </w:tcMar>
            <w:vAlign w:val="bottom"/>
          </w:tcPr>
          <w:p w14:paraId="222546B2" w14:textId="77777777" w:rsidR="005945E7" w:rsidRPr="009E178B" w:rsidRDefault="005945E7" w:rsidP="00FC2EE2">
            <w:pPr>
              <w:pStyle w:val="Body"/>
              <w:spacing w:line="360" w:lineRule="auto"/>
              <w:jc w:val="both"/>
              <w:rPr>
                <w:color w:val="000000" w:themeColor="text1"/>
              </w:rPr>
            </w:pPr>
            <w:r w:rsidRPr="009E178B">
              <w:rPr>
                <w:color w:val="000000" w:themeColor="text1"/>
                <w:sz w:val="22"/>
                <w:szCs w:val="22"/>
              </w:rPr>
              <w:t>2000</w:t>
            </w:r>
          </w:p>
        </w:tc>
        <w:tc>
          <w:tcPr>
            <w:tcW w:w="1945" w:type="dxa"/>
            <w:tcBorders>
              <w:top w:val="nil"/>
              <w:left w:val="single" w:sz="4" w:space="0" w:color="FFFFFF"/>
              <w:bottom w:val="nil"/>
              <w:right w:val="single" w:sz="4" w:space="0" w:color="FFFFFF"/>
            </w:tcBorders>
            <w:shd w:val="clear" w:color="auto" w:fill="E7E6E6"/>
            <w:tcMar>
              <w:top w:w="80" w:type="dxa"/>
              <w:left w:w="80" w:type="dxa"/>
              <w:bottom w:w="80" w:type="dxa"/>
              <w:right w:w="80" w:type="dxa"/>
            </w:tcMar>
            <w:vAlign w:val="bottom"/>
          </w:tcPr>
          <w:p w14:paraId="0B15D410" w14:textId="77777777" w:rsidR="005945E7" w:rsidRPr="009E178B" w:rsidRDefault="005945E7" w:rsidP="00FC2EE2">
            <w:pPr>
              <w:pStyle w:val="Body"/>
              <w:spacing w:line="360" w:lineRule="auto"/>
              <w:jc w:val="both"/>
              <w:rPr>
                <w:color w:val="000000" w:themeColor="text1"/>
              </w:rPr>
            </w:pPr>
            <w:r w:rsidRPr="009E178B">
              <w:rPr>
                <w:color w:val="000000" w:themeColor="text1"/>
                <w:sz w:val="22"/>
                <w:szCs w:val="22"/>
              </w:rPr>
              <w:t>54,121</w:t>
            </w:r>
          </w:p>
        </w:tc>
        <w:tc>
          <w:tcPr>
            <w:tcW w:w="1485" w:type="dxa"/>
            <w:tcBorders>
              <w:top w:val="nil"/>
              <w:left w:val="single" w:sz="4" w:space="0" w:color="FFFFFF"/>
              <w:bottom w:val="nil"/>
              <w:right w:val="nil"/>
            </w:tcBorders>
            <w:shd w:val="clear" w:color="auto" w:fill="E7E6E6"/>
            <w:tcMar>
              <w:top w:w="80" w:type="dxa"/>
              <w:left w:w="80" w:type="dxa"/>
              <w:bottom w:w="80" w:type="dxa"/>
              <w:right w:w="80" w:type="dxa"/>
            </w:tcMar>
            <w:vAlign w:val="bottom"/>
          </w:tcPr>
          <w:p w14:paraId="5F752288" w14:textId="77777777" w:rsidR="005945E7" w:rsidRPr="009E178B" w:rsidRDefault="005945E7" w:rsidP="00FC2EE2">
            <w:pPr>
              <w:pStyle w:val="Body"/>
              <w:spacing w:line="360" w:lineRule="auto"/>
              <w:jc w:val="both"/>
              <w:rPr>
                <w:color w:val="000000" w:themeColor="text1"/>
              </w:rPr>
            </w:pPr>
            <w:r w:rsidRPr="009E178B">
              <w:rPr>
                <w:color w:val="000000" w:themeColor="text1"/>
                <w:sz w:val="22"/>
                <w:szCs w:val="22"/>
              </w:rPr>
              <w:t>29,069</w:t>
            </w:r>
          </w:p>
        </w:tc>
      </w:tr>
      <w:tr w:rsidR="005945E7" w:rsidRPr="009E178B" w14:paraId="3C8CB5F7" w14:textId="77777777" w:rsidTr="00C03DC3">
        <w:trPr>
          <w:trHeight w:val="280"/>
        </w:trPr>
        <w:tc>
          <w:tcPr>
            <w:tcW w:w="1509" w:type="dxa"/>
            <w:tcBorders>
              <w:top w:val="nil"/>
              <w:left w:val="nil"/>
              <w:bottom w:val="nil"/>
              <w:right w:val="single" w:sz="4" w:space="0" w:color="FFFFFF"/>
            </w:tcBorders>
            <w:shd w:val="clear" w:color="auto" w:fill="E7E6E6"/>
            <w:tcMar>
              <w:top w:w="80" w:type="dxa"/>
              <w:left w:w="80" w:type="dxa"/>
              <w:bottom w:w="80" w:type="dxa"/>
              <w:right w:w="80" w:type="dxa"/>
            </w:tcMar>
            <w:vAlign w:val="bottom"/>
          </w:tcPr>
          <w:p w14:paraId="32DF2253" w14:textId="77777777" w:rsidR="005945E7" w:rsidRPr="009E178B" w:rsidRDefault="005945E7" w:rsidP="00FC2EE2">
            <w:pPr>
              <w:pStyle w:val="Body"/>
              <w:spacing w:line="360" w:lineRule="auto"/>
              <w:jc w:val="both"/>
              <w:rPr>
                <w:color w:val="000000" w:themeColor="text1"/>
              </w:rPr>
            </w:pPr>
            <w:r w:rsidRPr="009E178B">
              <w:rPr>
                <w:color w:val="000000" w:themeColor="text1"/>
                <w:sz w:val="22"/>
                <w:szCs w:val="22"/>
              </w:rPr>
              <w:t>2005</w:t>
            </w:r>
          </w:p>
        </w:tc>
        <w:tc>
          <w:tcPr>
            <w:tcW w:w="1945" w:type="dxa"/>
            <w:tcBorders>
              <w:top w:val="nil"/>
              <w:left w:val="single" w:sz="4" w:space="0" w:color="FFFFFF"/>
              <w:bottom w:val="nil"/>
              <w:right w:val="single" w:sz="4" w:space="0" w:color="FFFFFF"/>
            </w:tcBorders>
            <w:shd w:val="clear" w:color="auto" w:fill="E7E6E6"/>
            <w:tcMar>
              <w:top w:w="80" w:type="dxa"/>
              <w:left w:w="80" w:type="dxa"/>
              <w:bottom w:w="80" w:type="dxa"/>
              <w:right w:w="80" w:type="dxa"/>
            </w:tcMar>
            <w:vAlign w:val="bottom"/>
          </w:tcPr>
          <w:p w14:paraId="35348C3D" w14:textId="77777777" w:rsidR="005945E7" w:rsidRPr="009E178B" w:rsidRDefault="005945E7" w:rsidP="00FC2EE2">
            <w:pPr>
              <w:pStyle w:val="Body"/>
              <w:spacing w:line="360" w:lineRule="auto"/>
              <w:jc w:val="both"/>
              <w:rPr>
                <w:color w:val="000000" w:themeColor="text1"/>
              </w:rPr>
            </w:pPr>
            <w:r w:rsidRPr="009E178B">
              <w:rPr>
                <w:color w:val="000000" w:themeColor="text1"/>
                <w:sz w:val="22"/>
                <w:szCs w:val="22"/>
              </w:rPr>
              <w:t>53,213</w:t>
            </w:r>
          </w:p>
        </w:tc>
        <w:tc>
          <w:tcPr>
            <w:tcW w:w="1485" w:type="dxa"/>
            <w:tcBorders>
              <w:top w:val="nil"/>
              <w:left w:val="single" w:sz="4" w:space="0" w:color="FFFFFF"/>
              <w:bottom w:val="nil"/>
              <w:right w:val="nil"/>
            </w:tcBorders>
            <w:shd w:val="clear" w:color="auto" w:fill="E7E6E6"/>
            <w:tcMar>
              <w:top w:w="80" w:type="dxa"/>
              <w:left w:w="80" w:type="dxa"/>
              <w:bottom w:w="80" w:type="dxa"/>
              <w:right w:w="80" w:type="dxa"/>
            </w:tcMar>
            <w:vAlign w:val="bottom"/>
          </w:tcPr>
          <w:p w14:paraId="3BF4E1F1" w14:textId="77777777" w:rsidR="005945E7" w:rsidRPr="009E178B" w:rsidRDefault="005945E7" w:rsidP="00FC2EE2">
            <w:pPr>
              <w:pStyle w:val="Body"/>
              <w:spacing w:line="360" w:lineRule="auto"/>
              <w:jc w:val="both"/>
              <w:rPr>
                <w:color w:val="000000" w:themeColor="text1"/>
              </w:rPr>
            </w:pPr>
            <w:r w:rsidRPr="009E178B">
              <w:rPr>
                <w:color w:val="000000" w:themeColor="text1"/>
                <w:sz w:val="22"/>
                <w:szCs w:val="22"/>
              </w:rPr>
              <w:t>27,801</w:t>
            </w:r>
          </w:p>
        </w:tc>
      </w:tr>
      <w:tr w:rsidR="005945E7" w:rsidRPr="009E178B" w14:paraId="557F3AD4" w14:textId="77777777" w:rsidTr="00C03DC3">
        <w:trPr>
          <w:trHeight w:val="280"/>
        </w:trPr>
        <w:tc>
          <w:tcPr>
            <w:tcW w:w="1509" w:type="dxa"/>
            <w:tcBorders>
              <w:top w:val="nil"/>
              <w:left w:val="nil"/>
              <w:bottom w:val="nil"/>
              <w:right w:val="single" w:sz="4" w:space="0" w:color="FFFFFF"/>
            </w:tcBorders>
            <w:shd w:val="clear" w:color="auto" w:fill="E7E6E6"/>
            <w:tcMar>
              <w:top w:w="80" w:type="dxa"/>
              <w:left w:w="80" w:type="dxa"/>
              <w:bottom w:w="80" w:type="dxa"/>
              <w:right w:w="80" w:type="dxa"/>
            </w:tcMar>
            <w:vAlign w:val="bottom"/>
          </w:tcPr>
          <w:p w14:paraId="7D2D8F48" w14:textId="77777777" w:rsidR="005945E7" w:rsidRPr="009E178B" w:rsidRDefault="005945E7" w:rsidP="00FC2EE2">
            <w:pPr>
              <w:pStyle w:val="Body"/>
              <w:spacing w:line="360" w:lineRule="auto"/>
              <w:jc w:val="both"/>
              <w:rPr>
                <w:color w:val="000000" w:themeColor="text1"/>
              </w:rPr>
            </w:pPr>
            <w:r w:rsidRPr="009E178B">
              <w:rPr>
                <w:color w:val="000000" w:themeColor="text1"/>
                <w:sz w:val="22"/>
                <w:szCs w:val="22"/>
              </w:rPr>
              <w:t>2010</w:t>
            </w:r>
          </w:p>
        </w:tc>
        <w:tc>
          <w:tcPr>
            <w:tcW w:w="1945" w:type="dxa"/>
            <w:tcBorders>
              <w:top w:val="nil"/>
              <w:left w:val="single" w:sz="4" w:space="0" w:color="FFFFFF"/>
              <w:bottom w:val="nil"/>
              <w:right w:val="single" w:sz="4" w:space="0" w:color="FFFFFF"/>
            </w:tcBorders>
            <w:shd w:val="clear" w:color="auto" w:fill="E7E6E6"/>
            <w:tcMar>
              <w:top w:w="80" w:type="dxa"/>
              <w:left w:w="80" w:type="dxa"/>
              <w:bottom w:w="80" w:type="dxa"/>
              <w:right w:w="80" w:type="dxa"/>
            </w:tcMar>
            <w:vAlign w:val="bottom"/>
          </w:tcPr>
          <w:p w14:paraId="57DEB318" w14:textId="77777777" w:rsidR="005945E7" w:rsidRPr="009E178B" w:rsidRDefault="005945E7" w:rsidP="00FC2EE2">
            <w:pPr>
              <w:pStyle w:val="Body"/>
              <w:spacing w:line="360" w:lineRule="auto"/>
              <w:jc w:val="both"/>
              <w:rPr>
                <w:color w:val="000000" w:themeColor="text1"/>
              </w:rPr>
            </w:pPr>
            <w:r w:rsidRPr="009E178B">
              <w:rPr>
                <w:color w:val="000000" w:themeColor="text1"/>
                <w:sz w:val="22"/>
                <w:szCs w:val="22"/>
              </w:rPr>
              <w:t>51,931</w:t>
            </w:r>
          </w:p>
        </w:tc>
        <w:tc>
          <w:tcPr>
            <w:tcW w:w="1485" w:type="dxa"/>
            <w:tcBorders>
              <w:top w:val="nil"/>
              <w:left w:val="single" w:sz="4" w:space="0" w:color="FFFFFF"/>
              <w:bottom w:val="nil"/>
              <w:right w:val="nil"/>
            </w:tcBorders>
            <w:shd w:val="clear" w:color="auto" w:fill="E7E6E6"/>
            <w:tcMar>
              <w:top w:w="80" w:type="dxa"/>
              <w:left w:w="80" w:type="dxa"/>
              <w:bottom w:w="80" w:type="dxa"/>
              <w:right w:w="80" w:type="dxa"/>
            </w:tcMar>
            <w:vAlign w:val="bottom"/>
          </w:tcPr>
          <w:p w14:paraId="158975F7" w14:textId="77777777" w:rsidR="005945E7" w:rsidRPr="009E178B" w:rsidRDefault="005945E7" w:rsidP="00FC2EE2">
            <w:pPr>
              <w:pStyle w:val="Body"/>
              <w:spacing w:line="360" w:lineRule="auto"/>
              <w:jc w:val="both"/>
              <w:rPr>
                <w:color w:val="000000" w:themeColor="text1"/>
              </w:rPr>
            </w:pPr>
            <w:r w:rsidRPr="009E178B">
              <w:rPr>
                <w:color w:val="000000" w:themeColor="text1"/>
                <w:sz w:val="22"/>
                <w:szCs w:val="22"/>
              </w:rPr>
              <w:t>28,100</w:t>
            </w:r>
          </w:p>
        </w:tc>
      </w:tr>
      <w:tr w:rsidR="005945E7" w:rsidRPr="009E178B" w14:paraId="1DEBF6F6" w14:textId="77777777" w:rsidTr="00C03DC3">
        <w:trPr>
          <w:trHeight w:val="280"/>
        </w:trPr>
        <w:tc>
          <w:tcPr>
            <w:tcW w:w="1509" w:type="dxa"/>
            <w:tcBorders>
              <w:top w:val="nil"/>
              <w:left w:val="nil"/>
              <w:bottom w:val="single" w:sz="4" w:space="0" w:color="auto"/>
              <w:right w:val="single" w:sz="4" w:space="0" w:color="FFFFFF"/>
            </w:tcBorders>
            <w:shd w:val="clear" w:color="auto" w:fill="E7E6E6"/>
            <w:tcMar>
              <w:top w:w="80" w:type="dxa"/>
              <w:left w:w="80" w:type="dxa"/>
              <w:bottom w:w="80" w:type="dxa"/>
              <w:right w:w="80" w:type="dxa"/>
            </w:tcMar>
            <w:vAlign w:val="bottom"/>
          </w:tcPr>
          <w:p w14:paraId="0D00B667" w14:textId="77777777" w:rsidR="005945E7" w:rsidRPr="009E178B" w:rsidRDefault="005945E7" w:rsidP="00FC2EE2">
            <w:pPr>
              <w:pStyle w:val="Body"/>
              <w:spacing w:line="360" w:lineRule="auto"/>
              <w:jc w:val="both"/>
              <w:rPr>
                <w:color w:val="000000" w:themeColor="text1"/>
              </w:rPr>
            </w:pPr>
            <w:r w:rsidRPr="009E178B">
              <w:rPr>
                <w:color w:val="000000" w:themeColor="text1"/>
                <w:sz w:val="22"/>
                <w:szCs w:val="22"/>
              </w:rPr>
              <w:t>2014</w:t>
            </w:r>
          </w:p>
        </w:tc>
        <w:tc>
          <w:tcPr>
            <w:tcW w:w="1945" w:type="dxa"/>
            <w:tcBorders>
              <w:top w:val="nil"/>
              <w:left w:val="single" w:sz="4" w:space="0" w:color="FFFFFF"/>
              <w:bottom w:val="single" w:sz="4" w:space="0" w:color="auto"/>
              <w:right w:val="single" w:sz="4" w:space="0" w:color="FFFFFF"/>
            </w:tcBorders>
            <w:shd w:val="clear" w:color="auto" w:fill="E7E6E6"/>
            <w:tcMar>
              <w:top w:w="80" w:type="dxa"/>
              <w:left w:w="80" w:type="dxa"/>
              <w:bottom w:w="80" w:type="dxa"/>
              <w:right w:w="80" w:type="dxa"/>
            </w:tcMar>
            <w:vAlign w:val="bottom"/>
          </w:tcPr>
          <w:p w14:paraId="6F6249A8" w14:textId="77777777" w:rsidR="005945E7" w:rsidRPr="009E178B" w:rsidRDefault="005945E7" w:rsidP="00FC2EE2">
            <w:pPr>
              <w:pStyle w:val="Body"/>
              <w:spacing w:line="360" w:lineRule="auto"/>
              <w:jc w:val="both"/>
              <w:rPr>
                <w:color w:val="000000" w:themeColor="text1"/>
              </w:rPr>
            </w:pPr>
            <w:r w:rsidRPr="009E178B">
              <w:rPr>
                <w:color w:val="000000" w:themeColor="text1"/>
                <w:sz w:val="22"/>
                <w:szCs w:val="22"/>
              </w:rPr>
              <w:t>45,773</w:t>
            </w:r>
          </w:p>
        </w:tc>
        <w:tc>
          <w:tcPr>
            <w:tcW w:w="1485" w:type="dxa"/>
            <w:tcBorders>
              <w:top w:val="nil"/>
              <w:left w:val="single" w:sz="4" w:space="0" w:color="FFFFFF"/>
              <w:bottom w:val="single" w:sz="4" w:space="0" w:color="auto"/>
              <w:right w:val="nil"/>
            </w:tcBorders>
            <w:shd w:val="clear" w:color="auto" w:fill="E7E6E6"/>
            <w:tcMar>
              <w:top w:w="80" w:type="dxa"/>
              <w:left w:w="80" w:type="dxa"/>
              <w:bottom w:w="80" w:type="dxa"/>
              <w:right w:w="80" w:type="dxa"/>
            </w:tcMar>
            <w:vAlign w:val="bottom"/>
          </w:tcPr>
          <w:p w14:paraId="28B0B3BC" w14:textId="77777777" w:rsidR="005945E7" w:rsidRPr="009E178B" w:rsidRDefault="005945E7" w:rsidP="00FC2EE2">
            <w:pPr>
              <w:pStyle w:val="Body"/>
              <w:spacing w:line="360" w:lineRule="auto"/>
              <w:jc w:val="both"/>
              <w:rPr>
                <w:color w:val="000000" w:themeColor="text1"/>
              </w:rPr>
            </w:pPr>
            <w:r w:rsidRPr="009E178B">
              <w:rPr>
                <w:color w:val="000000" w:themeColor="text1"/>
                <w:sz w:val="22"/>
                <w:szCs w:val="22"/>
              </w:rPr>
              <w:t>25,687</w:t>
            </w:r>
          </w:p>
        </w:tc>
      </w:tr>
      <w:tr w:rsidR="005945E7" w:rsidRPr="009E178B" w14:paraId="5B3B238D" w14:textId="77777777" w:rsidTr="00C03DC3">
        <w:trPr>
          <w:trHeight w:val="275"/>
        </w:trPr>
        <w:tc>
          <w:tcPr>
            <w:tcW w:w="1509" w:type="dxa"/>
            <w:tcBorders>
              <w:top w:val="single" w:sz="4" w:space="0" w:color="auto"/>
              <w:left w:val="nil"/>
              <w:bottom w:val="single" w:sz="4" w:space="0" w:color="000000"/>
              <w:right w:val="single" w:sz="4" w:space="0" w:color="FFFFFF"/>
            </w:tcBorders>
            <w:shd w:val="clear" w:color="auto" w:fill="E7E6E6"/>
            <w:tcMar>
              <w:top w:w="80" w:type="dxa"/>
              <w:left w:w="80" w:type="dxa"/>
              <w:bottom w:w="80" w:type="dxa"/>
              <w:right w:w="80" w:type="dxa"/>
            </w:tcMar>
            <w:vAlign w:val="bottom"/>
          </w:tcPr>
          <w:p w14:paraId="006DEFAC" w14:textId="77777777" w:rsidR="005945E7" w:rsidRPr="009E178B" w:rsidRDefault="005945E7" w:rsidP="00FC2EE2">
            <w:pPr>
              <w:spacing w:line="360" w:lineRule="auto"/>
              <w:jc w:val="both"/>
              <w:rPr>
                <w:rFonts w:ascii="Calibri" w:hAnsi="Calibri"/>
                <w:color w:val="000000" w:themeColor="text1"/>
              </w:rPr>
            </w:pPr>
            <w:r w:rsidRPr="009E178B">
              <w:rPr>
                <w:rFonts w:ascii="Calibri" w:hAnsi="Calibri" w:cs="Arial Unicode MS"/>
                <w:color w:val="000000" w:themeColor="text1"/>
                <w:sz w:val="22"/>
                <w:szCs w:val="22"/>
                <w:u w:color="000000"/>
              </w:rPr>
              <w:t>Difference 1990-2014</w:t>
            </w:r>
          </w:p>
        </w:tc>
        <w:tc>
          <w:tcPr>
            <w:tcW w:w="1945" w:type="dxa"/>
            <w:tcBorders>
              <w:top w:val="single" w:sz="4" w:space="0" w:color="auto"/>
              <w:left w:val="single" w:sz="4" w:space="0" w:color="FFFFFF"/>
              <w:bottom w:val="single" w:sz="4" w:space="0" w:color="000000"/>
              <w:right w:val="single" w:sz="4" w:space="0" w:color="FFFFFF"/>
            </w:tcBorders>
            <w:shd w:val="clear" w:color="auto" w:fill="E7E6E6"/>
            <w:tcMar>
              <w:top w:w="80" w:type="dxa"/>
              <w:left w:w="80" w:type="dxa"/>
              <w:bottom w:w="80" w:type="dxa"/>
              <w:right w:w="80" w:type="dxa"/>
            </w:tcMar>
            <w:vAlign w:val="bottom"/>
          </w:tcPr>
          <w:p w14:paraId="149044B9" w14:textId="77777777" w:rsidR="005945E7" w:rsidRPr="009E178B" w:rsidRDefault="005945E7" w:rsidP="00FC2EE2">
            <w:pPr>
              <w:spacing w:line="360" w:lineRule="auto"/>
              <w:jc w:val="both"/>
              <w:rPr>
                <w:rFonts w:ascii="Calibri" w:hAnsi="Calibri"/>
                <w:color w:val="000000" w:themeColor="text1"/>
              </w:rPr>
            </w:pPr>
            <w:r w:rsidRPr="009E178B">
              <w:rPr>
                <w:rFonts w:ascii="Calibri" w:hAnsi="Calibri" w:cs="Arial Unicode MS"/>
                <w:color w:val="000000" w:themeColor="text1"/>
                <w:sz w:val="22"/>
                <w:szCs w:val="22"/>
                <w:u w:color="000000"/>
              </w:rPr>
              <w:t>-15.6%</w:t>
            </w:r>
          </w:p>
        </w:tc>
        <w:tc>
          <w:tcPr>
            <w:tcW w:w="1485" w:type="dxa"/>
            <w:tcBorders>
              <w:top w:val="single" w:sz="4" w:space="0" w:color="auto"/>
              <w:left w:val="single" w:sz="4" w:space="0" w:color="FFFFFF"/>
              <w:bottom w:val="single" w:sz="4" w:space="0" w:color="000000"/>
              <w:right w:val="nil"/>
            </w:tcBorders>
            <w:shd w:val="clear" w:color="auto" w:fill="E7E6E6"/>
            <w:tcMar>
              <w:top w:w="80" w:type="dxa"/>
              <w:left w:w="80" w:type="dxa"/>
              <w:bottom w:w="80" w:type="dxa"/>
              <w:right w:w="80" w:type="dxa"/>
            </w:tcMar>
            <w:vAlign w:val="bottom"/>
          </w:tcPr>
          <w:p w14:paraId="7DA91943" w14:textId="77777777" w:rsidR="005945E7" w:rsidRPr="009E178B" w:rsidRDefault="005945E7" w:rsidP="00FC2EE2">
            <w:pPr>
              <w:spacing w:line="360" w:lineRule="auto"/>
              <w:jc w:val="both"/>
              <w:rPr>
                <w:rFonts w:ascii="Calibri" w:hAnsi="Calibri"/>
                <w:color w:val="000000" w:themeColor="text1"/>
              </w:rPr>
            </w:pPr>
            <w:r w:rsidRPr="009E178B">
              <w:rPr>
                <w:rFonts w:ascii="Calibri" w:hAnsi="Calibri" w:cs="Arial Unicode MS"/>
                <w:color w:val="000000" w:themeColor="text1"/>
                <w:sz w:val="22"/>
                <w:szCs w:val="22"/>
                <w:u w:color="000000"/>
              </w:rPr>
              <w:t>-19.4%</w:t>
            </w:r>
          </w:p>
        </w:tc>
      </w:tr>
    </w:tbl>
    <w:p w14:paraId="06CFB25D" w14:textId="77777777" w:rsidR="005945E7" w:rsidRPr="009E178B" w:rsidRDefault="005945E7" w:rsidP="00FC2EE2">
      <w:pPr>
        <w:pStyle w:val="Body"/>
        <w:jc w:val="both"/>
      </w:pPr>
    </w:p>
    <w:p w14:paraId="68FA60F7" w14:textId="77777777" w:rsidR="005945E7" w:rsidRPr="009E178B" w:rsidRDefault="005945E7" w:rsidP="00FC2EE2">
      <w:pPr>
        <w:pStyle w:val="Caption"/>
        <w:spacing w:line="360" w:lineRule="auto"/>
        <w:jc w:val="both"/>
        <w:rPr>
          <w:rFonts w:ascii="Calibri" w:eastAsia="Athelas" w:hAnsi="Calibri" w:cs="Athelas"/>
          <w:color w:val="000000" w:themeColor="text1"/>
          <w:sz w:val="22"/>
          <w:szCs w:val="22"/>
        </w:rPr>
      </w:pPr>
    </w:p>
    <w:p w14:paraId="6866D2FF" w14:textId="77777777" w:rsidR="005945E7" w:rsidRPr="00B81ADF" w:rsidRDefault="005945E7" w:rsidP="00FC2EE2">
      <w:pPr>
        <w:jc w:val="both"/>
        <w:rPr>
          <w:rFonts w:ascii="Calibri" w:hAnsi="Calibri"/>
          <w:color w:val="000000" w:themeColor="text1"/>
        </w:rPr>
      </w:pPr>
    </w:p>
    <w:p w14:paraId="4BB976B9" w14:textId="3DE12D1D" w:rsidR="005945E7" w:rsidRPr="009E178B" w:rsidRDefault="00591D42" w:rsidP="00FC2EE2">
      <w:pPr>
        <w:jc w:val="both"/>
        <w:rPr>
          <w:rFonts w:ascii="Calibri" w:hAnsi="Calibri" w:cs="Arial Unicode MS"/>
          <w:b/>
          <w:color w:val="000000" w:themeColor="text1"/>
          <w:sz w:val="22"/>
          <w:szCs w:val="22"/>
        </w:rPr>
      </w:pPr>
      <w:r>
        <w:rPr>
          <w:rFonts w:ascii="Calibri" w:hAnsi="Calibri" w:cs="Arial Unicode MS"/>
          <w:b/>
          <w:color w:val="000000" w:themeColor="text1"/>
          <w:sz w:val="22"/>
          <w:szCs w:val="22"/>
        </w:rPr>
        <w:t xml:space="preserve">Additional file 1 </w:t>
      </w:r>
      <w:r w:rsidR="005945E7" w:rsidRPr="009E178B">
        <w:rPr>
          <w:rFonts w:ascii="Calibri" w:hAnsi="Calibri" w:cs="Arial Unicode MS"/>
          <w:b/>
          <w:color w:val="000000" w:themeColor="text1"/>
          <w:sz w:val="22"/>
          <w:szCs w:val="22"/>
        </w:rPr>
        <w:t>Sensitivity analysis</w:t>
      </w:r>
    </w:p>
    <w:p w14:paraId="250C7B3D" w14:textId="77777777" w:rsidR="005945E7" w:rsidRPr="009E178B" w:rsidRDefault="005945E7" w:rsidP="00FC2EE2">
      <w:pPr>
        <w:pStyle w:val="Body"/>
        <w:spacing w:before="240" w:line="360" w:lineRule="auto"/>
        <w:jc w:val="both"/>
        <w:rPr>
          <w:color w:val="000000" w:themeColor="text1"/>
          <w:sz w:val="22"/>
          <w:szCs w:val="22"/>
        </w:rPr>
      </w:pPr>
      <w:r>
        <w:rPr>
          <w:color w:val="000000" w:themeColor="text1"/>
          <w:sz w:val="22"/>
          <w:szCs w:val="22"/>
        </w:rPr>
        <w:lastRenderedPageBreak/>
        <w:t>The</w:t>
      </w:r>
      <w:r w:rsidRPr="009E178B">
        <w:rPr>
          <w:color w:val="000000" w:themeColor="text1"/>
          <w:sz w:val="22"/>
          <w:szCs w:val="22"/>
        </w:rPr>
        <w:t xml:space="preserve"> sensitivity analysis </w:t>
      </w:r>
      <w:r>
        <w:rPr>
          <w:color w:val="000000" w:themeColor="text1"/>
          <w:sz w:val="22"/>
          <w:szCs w:val="22"/>
        </w:rPr>
        <w:t>showed that</w:t>
      </w:r>
      <w:r w:rsidRPr="009E178B">
        <w:rPr>
          <w:color w:val="000000" w:themeColor="text1"/>
          <w:sz w:val="22"/>
          <w:szCs w:val="22"/>
        </w:rPr>
        <w:t xml:space="preserve"> productivity losses due to morbidity were always </w:t>
      </w:r>
      <w:r>
        <w:rPr>
          <w:color w:val="000000" w:themeColor="text1"/>
          <w:sz w:val="22"/>
          <w:szCs w:val="22"/>
        </w:rPr>
        <w:t>between</w:t>
      </w:r>
      <w:r w:rsidRPr="009E178B">
        <w:rPr>
          <w:color w:val="000000" w:themeColor="text1"/>
          <w:sz w:val="22"/>
          <w:szCs w:val="22"/>
        </w:rPr>
        <w:t xml:space="preserve"> €258 million </w:t>
      </w:r>
      <w:r>
        <w:rPr>
          <w:color w:val="000000" w:themeColor="text1"/>
          <w:sz w:val="22"/>
          <w:szCs w:val="22"/>
        </w:rPr>
        <w:t>and</w:t>
      </w:r>
      <w:r w:rsidRPr="009E178B">
        <w:rPr>
          <w:color w:val="000000" w:themeColor="text1"/>
          <w:sz w:val="22"/>
          <w:szCs w:val="22"/>
        </w:rPr>
        <w:t xml:space="preserve"> €334.6 million</w:t>
      </w:r>
      <w:r>
        <w:rPr>
          <w:color w:val="000000" w:themeColor="text1"/>
          <w:sz w:val="22"/>
          <w:szCs w:val="22"/>
        </w:rPr>
        <w:t xml:space="preserve"> per year</w:t>
      </w:r>
      <w:r w:rsidRPr="009E178B">
        <w:rPr>
          <w:color w:val="000000" w:themeColor="text1"/>
          <w:sz w:val="22"/>
          <w:szCs w:val="22"/>
        </w:rPr>
        <w:t xml:space="preserve">. Productivity losses due to mortality ranged between €221 million and €323 million annually. The </w:t>
      </w:r>
      <w:r>
        <w:rPr>
          <w:color w:val="000000" w:themeColor="text1"/>
          <w:sz w:val="22"/>
          <w:szCs w:val="22"/>
        </w:rPr>
        <w:t xml:space="preserve">biggest impact on </w:t>
      </w:r>
      <w:r w:rsidRPr="009E178B">
        <w:rPr>
          <w:color w:val="000000" w:themeColor="text1"/>
          <w:sz w:val="22"/>
          <w:szCs w:val="22"/>
        </w:rPr>
        <w:t xml:space="preserve">productivity losses due to morbidity </w:t>
      </w:r>
      <w:r>
        <w:rPr>
          <w:color w:val="000000" w:themeColor="text1"/>
          <w:sz w:val="22"/>
          <w:szCs w:val="22"/>
        </w:rPr>
        <w:t>were the</w:t>
      </w:r>
      <w:r w:rsidRPr="009E178B">
        <w:rPr>
          <w:color w:val="000000" w:themeColor="text1"/>
          <w:sz w:val="22"/>
          <w:szCs w:val="22"/>
        </w:rPr>
        <w:t xml:space="preserve"> emancipation rate</w:t>
      </w:r>
      <w:r>
        <w:rPr>
          <w:color w:val="000000" w:themeColor="text1"/>
          <w:sz w:val="22"/>
          <w:szCs w:val="22"/>
        </w:rPr>
        <w:t xml:space="preserve"> and the </w:t>
      </w:r>
      <w:r w:rsidRPr="009E178B">
        <w:rPr>
          <w:color w:val="000000" w:themeColor="text1"/>
          <w:sz w:val="22"/>
          <w:szCs w:val="22"/>
        </w:rPr>
        <w:t xml:space="preserve">income inequalities for male and female. For productivity losses due to mortality the discount rate </w:t>
      </w:r>
      <w:r>
        <w:rPr>
          <w:color w:val="000000" w:themeColor="text1"/>
          <w:sz w:val="22"/>
          <w:szCs w:val="22"/>
        </w:rPr>
        <w:t xml:space="preserve">and </w:t>
      </w:r>
      <w:r w:rsidRPr="009E178B">
        <w:rPr>
          <w:color w:val="000000" w:themeColor="text1"/>
          <w:sz w:val="22"/>
          <w:szCs w:val="22"/>
        </w:rPr>
        <w:t xml:space="preserve"> the productivity losses due to mortality </w:t>
      </w:r>
      <w:r>
        <w:rPr>
          <w:color w:val="000000" w:themeColor="text1"/>
          <w:sz w:val="22"/>
          <w:szCs w:val="22"/>
        </w:rPr>
        <w:t>had the highest impact</w:t>
      </w:r>
      <w:r w:rsidRPr="009E178B">
        <w:rPr>
          <w:color w:val="000000" w:themeColor="text1"/>
          <w:sz w:val="22"/>
          <w:szCs w:val="22"/>
        </w:rPr>
        <w:t xml:space="preserve">. </w:t>
      </w:r>
    </w:p>
    <w:p w14:paraId="6AE09971" w14:textId="77777777" w:rsidR="005945E7" w:rsidRPr="009E178B" w:rsidRDefault="005945E7" w:rsidP="00FC2EE2">
      <w:pPr>
        <w:pStyle w:val="Body"/>
        <w:spacing w:before="240" w:line="360" w:lineRule="auto"/>
        <w:jc w:val="both"/>
        <w:rPr>
          <w:color w:val="000000" w:themeColor="text1"/>
          <w:sz w:val="22"/>
          <w:szCs w:val="22"/>
        </w:rPr>
      </w:pPr>
      <w:r w:rsidRPr="009E178B">
        <w:rPr>
          <w:color w:val="000000" w:themeColor="text1"/>
          <w:sz w:val="22"/>
          <w:szCs w:val="22"/>
        </w:rPr>
        <w:t>Discounting and income growth rate is irrelevant using the Friction cost approach (FCA), since the FCA only takes 85 calendar days into account for productivity losses. To take emancipation into account female gross labor participation rates were changed to equal those of men, which was 40.4%</w:t>
      </w:r>
      <w:r>
        <w:rPr>
          <w:color w:val="000000" w:themeColor="text1"/>
          <w:sz w:val="22"/>
          <w:szCs w:val="22"/>
        </w:rPr>
        <w:t xml:space="preserve"> for age group 15-25</w:t>
      </w:r>
      <w:r w:rsidRPr="009E178B">
        <w:rPr>
          <w:color w:val="000000" w:themeColor="text1"/>
          <w:sz w:val="22"/>
          <w:szCs w:val="22"/>
        </w:rPr>
        <w:t xml:space="preserve">, 91.8% </w:t>
      </w:r>
      <w:r>
        <w:rPr>
          <w:color w:val="000000" w:themeColor="text1"/>
          <w:sz w:val="22"/>
          <w:szCs w:val="22"/>
        </w:rPr>
        <w:t>for 25-45 and</w:t>
      </w:r>
      <w:r w:rsidRPr="009E178B">
        <w:rPr>
          <w:color w:val="000000" w:themeColor="text1"/>
          <w:sz w:val="22"/>
          <w:szCs w:val="22"/>
        </w:rPr>
        <w:t xml:space="preserve"> 82.4% for 45-65.</w:t>
      </w:r>
    </w:p>
    <w:p w14:paraId="456B6C6D" w14:textId="77777777" w:rsidR="005945E7" w:rsidRPr="009E178B" w:rsidRDefault="005945E7" w:rsidP="00FC2EE2">
      <w:pPr>
        <w:pStyle w:val="Body"/>
        <w:spacing w:before="240" w:line="360" w:lineRule="auto"/>
        <w:jc w:val="both"/>
        <w:rPr>
          <w:color w:val="000000" w:themeColor="text1"/>
          <w:sz w:val="22"/>
          <w:szCs w:val="22"/>
        </w:rPr>
      </w:pPr>
      <w:r w:rsidRPr="009E178B">
        <w:rPr>
          <w:color w:val="000000" w:themeColor="text1"/>
          <w:sz w:val="22"/>
          <w:szCs w:val="22"/>
        </w:rPr>
        <w:t xml:space="preserve"> </w:t>
      </w:r>
    </w:p>
    <w:p w14:paraId="452B6C7C" w14:textId="77777777" w:rsidR="005945E7" w:rsidRPr="009E178B" w:rsidRDefault="005945E7" w:rsidP="00FC2EE2">
      <w:pPr>
        <w:pStyle w:val="Caption"/>
        <w:spacing w:line="360" w:lineRule="auto"/>
        <w:jc w:val="both"/>
        <w:rPr>
          <w:rFonts w:ascii="Calibri" w:eastAsia="Athelas" w:hAnsi="Calibri" w:cs="Athelas"/>
          <w:color w:val="000000" w:themeColor="text1"/>
          <w:sz w:val="22"/>
          <w:szCs w:val="22"/>
        </w:rPr>
      </w:pPr>
    </w:p>
    <w:p w14:paraId="2DEDB78D" w14:textId="66C87CA7" w:rsidR="005945E7" w:rsidRPr="00591D42" w:rsidRDefault="005945E7" w:rsidP="00FC2EE2">
      <w:pPr>
        <w:pStyle w:val="Caption"/>
        <w:spacing w:line="360" w:lineRule="auto"/>
        <w:jc w:val="both"/>
        <w:rPr>
          <w:rFonts w:ascii="Calibri" w:eastAsia="Athelas" w:hAnsi="Calibri" w:cs="Athelas"/>
          <w:i w:val="0"/>
          <w:color w:val="000000" w:themeColor="text1"/>
          <w:sz w:val="22"/>
          <w:szCs w:val="22"/>
        </w:rPr>
      </w:pPr>
      <w:r w:rsidRPr="00591D42">
        <w:rPr>
          <w:rFonts w:ascii="Calibri" w:eastAsia="Athelas" w:hAnsi="Calibri" w:cs="Athelas"/>
          <w:i w:val="0"/>
          <w:color w:val="000000" w:themeColor="text1"/>
          <w:sz w:val="22"/>
          <w:szCs w:val="22"/>
        </w:rPr>
        <w:t xml:space="preserve">Table </w:t>
      </w:r>
      <w:r w:rsidR="00591D42">
        <w:rPr>
          <w:rFonts w:ascii="Calibri" w:eastAsia="Athelas" w:hAnsi="Calibri" w:cs="Athelas"/>
          <w:i w:val="0"/>
          <w:color w:val="000000" w:themeColor="text1"/>
          <w:sz w:val="22"/>
          <w:szCs w:val="22"/>
        </w:rPr>
        <w:t>S</w:t>
      </w:r>
      <w:r w:rsidRPr="00591D42">
        <w:rPr>
          <w:rFonts w:ascii="Calibri" w:eastAsia="Athelas" w:hAnsi="Calibri" w:cs="Athelas"/>
          <w:i w:val="0"/>
          <w:color w:val="000000" w:themeColor="text1"/>
          <w:sz w:val="22"/>
          <w:szCs w:val="22"/>
        </w:rPr>
        <w:t>7: Sensitivity Analysis for productivity losses</w:t>
      </w:r>
    </w:p>
    <w:tbl>
      <w:tblPr>
        <w:tblW w:w="51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008"/>
        <w:gridCol w:w="1569"/>
        <w:gridCol w:w="1613"/>
      </w:tblGrid>
      <w:tr w:rsidR="005945E7" w:rsidRPr="009E178B" w14:paraId="352C5462" w14:textId="77777777" w:rsidTr="00C03DC3">
        <w:trPr>
          <w:trHeight w:val="975"/>
        </w:trPr>
        <w:tc>
          <w:tcPr>
            <w:tcW w:w="2008" w:type="dxa"/>
            <w:tcBorders>
              <w:top w:val="nil"/>
              <w:left w:val="nil"/>
              <w:bottom w:val="single" w:sz="4" w:space="0" w:color="000000"/>
              <w:right w:val="single" w:sz="4" w:space="0" w:color="FFFFFF"/>
            </w:tcBorders>
            <w:shd w:val="clear" w:color="auto" w:fill="E7E6E6"/>
            <w:tcMar>
              <w:top w:w="80" w:type="dxa"/>
              <w:left w:w="80" w:type="dxa"/>
              <w:bottom w:w="80" w:type="dxa"/>
              <w:right w:w="80" w:type="dxa"/>
            </w:tcMar>
            <w:vAlign w:val="bottom"/>
          </w:tcPr>
          <w:p w14:paraId="13A76249" w14:textId="77777777" w:rsidR="005945E7" w:rsidRPr="009E178B" w:rsidRDefault="005945E7" w:rsidP="00FC2EE2">
            <w:pPr>
              <w:spacing w:line="360" w:lineRule="auto"/>
              <w:jc w:val="both"/>
              <w:rPr>
                <w:rFonts w:ascii="Calibri" w:hAnsi="Calibri"/>
                <w:color w:val="000000" w:themeColor="text1"/>
              </w:rPr>
            </w:pPr>
          </w:p>
        </w:tc>
        <w:tc>
          <w:tcPr>
            <w:tcW w:w="1569" w:type="dxa"/>
            <w:tcBorders>
              <w:top w:val="nil"/>
              <w:left w:val="single" w:sz="4" w:space="0" w:color="FFFFFF"/>
              <w:bottom w:val="single" w:sz="4" w:space="0" w:color="000000"/>
              <w:right w:val="single" w:sz="4" w:space="0" w:color="FFFFFF"/>
            </w:tcBorders>
            <w:shd w:val="clear" w:color="auto" w:fill="E7E6E6"/>
            <w:tcMar>
              <w:top w:w="80" w:type="dxa"/>
              <w:left w:w="80" w:type="dxa"/>
              <w:bottom w:w="80" w:type="dxa"/>
              <w:right w:w="80" w:type="dxa"/>
            </w:tcMar>
            <w:vAlign w:val="bottom"/>
          </w:tcPr>
          <w:p w14:paraId="177237A1" w14:textId="77777777" w:rsidR="005945E7" w:rsidRPr="009E178B" w:rsidRDefault="005945E7" w:rsidP="00FC2EE2">
            <w:pPr>
              <w:pStyle w:val="Body"/>
              <w:spacing w:line="360" w:lineRule="auto"/>
              <w:jc w:val="both"/>
              <w:rPr>
                <w:color w:val="000000" w:themeColor="text1"/>
              </w:rPr>
            </w:pPr>
            <w:r w:rsidRPr="009E178B">
              <w:rPr>
                <w:color w:val="000000" w:themeColor="text1"/>
                <w:sz w:val="21"/>
                <w:szCs w:val="21"/>
              </w:rPr>
              <w:t>Productivity Losses due to morbidity (€)</w:t>
            </w:r>
          </w:p>
        </w:tc>
        <w:tc>
          <w:tcPr>
            <w:tcW w:w="1613" w:type="dxa"/>
            <w:tcBorders>
              <w:top w:val="nil"/>
              <w:left w:val="single" w:sz="4" w:space="0" w:color="FFFFFF"/>
              <w:bottom w:val="single" w:sz="4" w:space="0" w:color="000000"/>
              <w:right w:val="nil"/>
            </w:tcBorders>
            <w:shd w:val="clear" w:color="auto" w:fill="E7E6E6"/>
            <w:tcMar>
              <w:top w:w="80" w:type="dxa"/>
              <w:left w:w="80" w:type="dxa"/>
              <w:bottom w:w="80" w:type="dxa"/>
              <w:right w:w="80" w:type="dxa"/>
            </w:tcMar>
            <w:vAlign w:val="bottom"/>
          </w:tcPr>
          <w:p w14:paraId="13CCDC4E" w14:textId="77777777" w:rsidR="005945E7" w:rsidRPr="009E178B" w:rsidRDefault="005945E7" w:rsidP="00FC2EE2">
            <w:pPr>
              <w:pStyle w:val="Body"/>
              <w:spacing w:line="360" w:lineRule="auto"/>
              <w:jc w:val="both"/>
              <w:rPr>
                <w:color w:val="000000" w:themeColor="text1"/>
              </w:rPr>
            </w:pPr>
            <w:r w:rsidRPr="009E178B">
              <w:rPr>
                <w:color w:val="000000" w:themeColor="text1"/>
                <w:sz w:val="21"/>
                <w:szCs w:val="21"/>
              </w:rPr>
              <w:t>Productivity losses due to mortality (€)</w:t>
            </w:r>
          </w:p>
        </w:tc>
      </w:tr>
      <w:tr w:rsidR="005945E7" w:rsidRPr="009E178B" w14:paraId="53F18485" w14:textId="77777777" w:rsidTr="00C03DC3">
        <w:trPr>
          <w:trHeight w:val="255"/>
        </w:trPr>
        <w:tc>
          <w:tcPr>
            <w:tcW w:w="2008" w:type="dxa"/>
            <w:tcBorders>
              <w:top w:val="single" w:sz="4" w:space="0" w:color="000000"/>
              <w:left w:val="nil"/>
              <w:bottom w:val="nil"/>
              <w:right w:val="single" w:sz="4" w:space="0" w:color="FFFFFF"/>
            </w:tcBorders>
            <w:shd w:val="clear" w:color="auto" w:fill="E7E6E6"/>
            <w:tcMar>
              <w:top w:w="80" w:type="dxa"/>
              <w:left w:w="80" w:type="dxa"/>
              <w:bottom w:w="80" w:type="dxa"/>
              <w:right w:w="80" w:type="dxa"/>
            </w:tcMar>
            <w:vAlign w:val="bottom"/>
          </w:tcPr>
          <w:p w14:paraId="00AE085A" w14:textId="77777777" w:rsidR="005945E7" w:rsidRPr="009E178B" w:rsidRDefault="005945E7" w:rsidP="00FC2EE2">
            <w:pPr>
              <w:pStyle w:val="Body"/>
              <w:spacing w:line="360" w:lineRule="auto"/>
              <w:jc w:val="both"/>
              <w:rPr>
                <w:color w:val="000000" w:themeColor="text1"/>
              </w:rPr>
            </w:pPr>
            <w:r w:rsidRPr="009E178B">
              <w:rPr>
                <w:b/>
                <w:bCs/>
                <w:color w:val="000000" w:themeColor="text1"/>
                <w:sz w:val="21"/>
                <w:szCs w:val="21"/>
              </w:rPr>
              <w:t>Base Case</w:t>
            </w:r>
          </w:p>
        </w:tc>
        <w:tc>
          <w:tcPr>
            <w:tcW w:w="1569" w:type="dxa"/>
            <w:tcBorders>
              <w:top w:val="single" w:sz="4" w:space="0" w:color="000000"/>
              <w:left w:val="single" w:sz="4" w:space="0" w:color="FFFFFF"/>
              <w:bottom w:val="nil"/>
              <w:right w:val="single" w:sz="4" w:space="0" w:color="FFFFFF"/>
            </w:tcBorders>
            <w:shd w:val="clear" w:color="auto" w:fill="E7E6E6"/>
            <w:tcMar>
              <w:top w:w="80" w:type="dxa"/>
              <w:left w:w="80" w:type="dxa"/>
              <w:bottom w:w="80" w:type="dxa"/>
              <w:right w:w="80" w:type="dxa"/>
            </w:tcMar>
            <w:vAlign w:val="bottom"/>
          </w:tcPr>
          <w:p w14:paraId="2F830285" w14:textId="77777777" w:rsidR="005945E7" w:rsidRPr="009E178B" w:rsidRDefault="005945E7" w:rsidP="00FC2EE2">
            <w:pPr>
              <w:pStyle w:val="Body"/>
              <w:spacing w:line="360" w:lineRule="auto"/>
              <w:jc w:val="both"/>
              <w:rPr>
                <w:color w:val="000000" w:themeColor="text1"/>
              </w:rPr>
            </w:pPr>
            <w:r w:rsidRPr="009E178B">
              <w:rPr>
                <w:b/>
                <w:bCs/>
                <w:color w:val="000000" w:themeColor="text1"/>
                <w:sz w:val="21"/>
                <w:szCs w:val="21"/>
              </w:rPr>
              <w:t>259,778,871</w:t>
            </w:r>
          </w:p>
        </w:tc>
        <w:tc>
          <w:tcPr>
            <w:tcW w:w="1613" w:type="dxa"/>
            <w:tcBorders>
              <w:top w:val="single" w:sz="4" w:space="0" w:color="000000"/>
              <w:left w:val="single" w:sz="4" w:space="0" w:color="FFFFFF"/>
              <w:bottom w:val="nil"/>
              <w:right w:val="nil"/>
            </w:tcBorders>
            <w:shd w:val="clear" w:color="auto" w:fill="E7E6E6"/>
            <w:tcMar>
              <w:top w:w="80" w:type="dxa"/>
              <w:left w:w="80" w:type="dxa"/>
              <w:bottom w:w="80" w:type="dxa"/>
              <w:right w:w="80" w:type="dxa"/>
            </w:tcMar>
            <w:vAlign w:val="bottom"/>
          </w:tcPr>
          <w:p w14:paraId="50046708" w14:textId="77777777" w:rsidR="005945E7" w:rsidRPr="009E178B" w:rsidRDefault="005945E7" w:rsidP="00FC2EE2">
            <w:pPr>
              <w:pStyle w:val="Body"/>
              <w:spacing w:line="360" w:lineRule="auto"/>
              <w:jc w:val="both"/>
              <w:rPr>
                <w:color w:val="000000" w:themeColor="text1"/>
              </w:rPr>
            </w:pPr>
            <w:r w:rsidRPr="009E178B">
              <w:rPr>
                <w:b/>
                <w:bCs/>
                <w:color w:val="000000" w:themeColor="text1"/>
                <w:sz w:val="21"/>
                <w:szCs w:val="21"/>
              </w:rPr>
              <w:t>242,713,394</w:t>
            </w:r>
          </w:p>
        </w:tc>
      </w:tr>
      <w:tr w:rsidR="005945E7" w:rsidRPr="009E178B" w14:paraId="378112D1" w14:textId="77777777" w:rsidTr="00C03DC3">
        <w:trPr>
          <w:trHeight w:val="260"/>
        </w:trPr>
        <w:tc>
          <w:tcPr>
            <w:tcW w:w="2008" w:type="dxa"/>
            <w:tcBorders>
              <w:top w:val="nil"/>
              <w:left w:val="nil"/>
              <w:bottom w:val="nil"/>
              <w:right w:val="single" w:sz="4" w:space="0" w:color="FFFFFF"/>
            </w:tcBorders>
            <w:shd w:val="clear" w:color="auto" w:fill="E7E6E6"/>
            <w:tcMar>
              <w:top w:w="80" w:type="dxa"/>
              <w:left w:w="80" w:type="dxa"/>
              <w:bottom w:w="80" w:type="dxa"/>
              <w:right w:w="80" w:type="dxa"/>
            </w:tcMar>
            <w:vAlign w:val="bottom"/>
          </w:tcPr>
          <w:p w14:paraId="7375C5F8" w14:textId="77777777" w:rsidR="005945E7" w:rsidRPr="009E178B" w:rsidRDefault="005945E7" w:rsidP="00FC2EE2">
            <w:pPr>
              <w:pStyle w:val="Body"/>
              <w:spacing w:line="360" w:lineRule="auto"/>
              <w:jc w:val="both"/>
              <w:rPr>
                <w:color w:val="000000" w:themeColor="text1"/>
              </w:rPr>
            </w:pPr>
            <w:r w:rsidRPr="009E178B">
              <w:rPr>
                <w:color w:val="000000" w:themeColor="text1"/>
                <w:sz w:val="21"/>
                <w:szCs w:val="21"/>
              </w:rPr>
              <w:t>GDP growth 0%</w:t>
            </w:r>
          </w:p>
        </w:tc>
        <w:tc>
          <w:tcPr>
            <w:tcW w:w="1569" w:type="dxa"/>
            <w:tcBorders>
              <w:top w:val="nil"/>
              <w:left w:val="single" w:sz="4" w:space="0" w:color="FFFFFF"/>
              <w:bottom w:val="nil"/>
              <w:right w:val="single" w:sz="4" w:space="0" w:color="FFFFFF"/>
            </w:tcBorders>
            <w:shd w:val="clear" w:color="auto" w:fill="E7E6E6"/>
            <w:tcMar>
              <w:top w:w="80" w:type="dxa"/>
              <w:left w:w="80" w:type="dxa"/>
              <w:bottom w:w="80" w:type="dxa"/>
              <w:right w:w="80" w:type="dxa"/>
            </w:tcMar>
            <w:vAlign w:val="bottom"/>
          </w:tcPr>
          <w:p w14:paraId="0838AB44" w14:textId="77777777" w:rsidR="005945E7" w:rsidRPr="009E178B" w:rsidRDefault="005945E7" w:rsidP="00FC2EE2">
            <w:pPr>
              <w:pStyle w:val="Body"/>
              <w:spacing w:line="360" w:lineRule="auto"/>
              <w:jc w:val="both"/>
              <w:rPr>
                <w:color w:val="000000" w:themeColor="text1"/>
              </w:rPr>
            </w:pPr>
            <w:r w:rsidRPr="009E178B">
              <w:rPr>
                <w:color w:val="000000" w:themeColor="text1"/>
                <w:sz w:val="21"/>
                <w:szCs w:val="21"/>
              </w:rPr>
              <w:t>258,669,021</w:t>
            </w:r>
          </w:p>
        </w:tc>
        <w:tc>
          <w:tcPr>
            <w:tcW w:w="1613" w:type="dxa"/>
            <w:tcBorders>
              <w:top w:val="nil"/>
              <w:left w:val="single" w:sz="4" w:space="0" w:color="FFFFFF"/>
              <w:bottom w:val="nil"/>
              <w:right w:val="nil"/>
            </w:tcBorders>
            <w:shd w:val="clear" w:color="auto" w:fill="E7E6E6"/>
            <w:tcMar>
              <w:top w:w="80" w:type="dxa"/>
              <w:left w:w="80" w:type="dxa"/>
              <w:bottom w:w="80" w:type="dxa"/>
              <w:right w:w="80" w:type="dxa"/>
            </w:tcMar>
            <w:vAlign w:val="bottom"/>
          </w:tcPr>
          <w:p w14:paraId="010F0009" w14:textId="77777777" w:rsidR="005945E7" w:rsidRPr="009E178B" w:rsidRDefault="005945E7" w:rsidP="00FC2EE2">
            <w:pPr>
              <w:pStyle w:val="Body"/>
              <w:spacing w:line="360" w:lineRule="auto"/>
              <w:jc w:val="both"/>
              <w:rPr>
                <w:color w:val="000000" w:themeColor="text1"/>
              </w:rPr>
            </w:pPr>
            <w:r w:rsidRPr="009E178B">
              <w:rPr>
                <w:color w:val="000000" w:themeColor="text1"/>
                <w:sz w:val="21"/>
                <w:szCs w:val="21"/>
              </w:rPr>
              <w:t>220,980,308</w:t>
            </w:r>
          </w:p>
        </w:tc>
      </w:tr>
      <w:tr w:rsidR="005945E7" w:rsidRPr="009E178B" w14:paraId="3D2CDDAA" w14:textId="77777777" w:rsidTr="00C03DC3">
        <w:trPr>
          <w:trHeight w:val="260"/>
        </w:trPr>
        <w:tc>
          <w:tcPr>
            <w:tcW w:w="2008" w:type="dxa"/>
            <w:tcBorders>
              <w:top w:val="nil"/>
              <w:left w:val="nil"/>
              <w:bottom w:val="nil"/>
              <w:right w:val="single" w:sz="4" w:space="0" w:color="FFFFFF"/>
            </w:tcBorders>
            <w:shd w:val="clear" w:color="auto" w:fill="E7E6E6"/>
            <w:tcMar>
              <w:top w:w="80" w:type="dxa"/>
              <w:left w:w="80" w:type="dxa"/>
              <w:bottom w:w="80" w:type="dxa"/>
              <w:right w:w="80" w:type="dxa"/>
            </w:tcMar>
            <w:vAlign w:val="bottom"/>
          </w:tcPr>
          <w:p w14:paraId="6DBBA295" w14:textId="77777777" w:rsidR="005945E7" w:rsidRPr="009E178B" w:rsidRDefault="005945E7" w:rsidP="00FC2EE2">
            <w:pPr>
              <w:pStyle w:val="Body"/>
              <w:spacing w:line="360" w:lineRule="auto"/>
              <w:jc w:val="both"/>
              <w:rPr>
                <w:color w:val="000000" w:themeColor="text1"/>
              </w:rPr>
            </w:pPr>
            <w:r w:rsidRPr="009E178B">
              <w:rPr>
                <w:color w:val="000000" w:themeColor="text1"/>
                <w:sz w:val="21"/>
                <w:szCs w:val="21"/>
              </w:rPr>
              <w:t>GDP growth 3.5%</w:t>
            </w:r>
          </w:p>
        </w:tc>
        <w:tc>
          <w:tcPr>
            <w:tcW w:w="1569" w:type="dxa"/>
            <w:tcBorders>
              <w:top w:val="nil"/>
              <w:left w:val="single" w:sz="4" w:space="0" w:color="FFFFFF"/>
              <w:bottom w:val="nil"/>
              <w:right w:val="single" w:sz="4" w:space="0" w:color="FFFFFF"/>
            </w:tcBorders>
            <w:shd w:val="clear" w:color="auto" w:fill="E7E6E6"/>
            <w:tcMar>
              <w:top w:w="80" w:type="dxa"/>
              <w:left w:w="80" w:type="dxa"/>
              <w:bottom w:w="80" w:type="dxa"/>
              <w:right w:w="80" w:type="dxa"/>
            </w:tcMar>
            <w:vAlign w:val="bottom"/>
          </w:tcPr>
          <w:p w14:paraId="52591E72" w14:textId="77777777" w:rsidR="005945E7" w:rsidRPr="009E178B" w:rsidRDefault="005945E7" w:rsidP="00FC2EE2">
            <w:pPr>
              <w:pStyle w:val="Body"/>
              <w:spacing w:line="360" w:lineRule="auto"/>
              <w:jc w:val="both"/>
              <w:rPr>
                <w:color w:val="000000" w:themeColor="text1"/>
              </w:rPr>
            </w:pPr>
            <w:r w:rsidRPr="009E178B">
              <w:rPr>
                <w:color w:val="000000" w:themeColor="text1"/>
                <w:sz w:val="21"/>
                <w:szCs w:val="21"/>
              </w:rPr>
              <w:t>261,258,671</w:t>
            </w:r>
          </w:p>
        </w:tc>
        <w:tc>
          <w:tcPr>
            <w:tcW w:w="1613" w:type="dxa"/>
            <w:tcBorders>
              <w:top w:val="nil"/>
              <w:left w:val="single" w:sz="4" w:space="0" w:color="FFFFFF"/>
              <w:bottom w:val="nil"/>
              <w:right w:val="nil"/>
            </w:tcBorders>
            <w:shd w:val="clear" w:color="auto" w:fill="E7E6E6"/>
            <w:tcMar>
              <w:top w:w="80" w:type="dxa"/>
              <w:left w:w="80" w:type="dxa"/>
              <w:bottom w:w="80" w:type="dxa"/>
              <w:right w:w="80" w:type="dxa"/>
            </w:tcMar>
            <w:vAlign w:val="bottom"/>
          </w:tcPr>
          <w:p w14:paraId="3FF1E00B" w14:textId="77777777" w:rsidR="005945E7" w:rsidRPr="009E178B" w:rsidRDefault="005945E7" w:rsidP="00FC2EE2">
            <w:pPr>
              <w:pStyle w:val="Body"/>
              <w:spacing w:line="360" w:lineRule="auto"/>
              <w:jc w:val="both"/>
              <w:rPr>
                <w:color w:val="000000" w:themeColor="text1"/>
              </w:rPr>
            </w:pPr>
            <w:r w:rsidRPr="009E178B">
              <w:rPr>
                <w:color w:val="000000" w:themeColor="text1"/>
                <w:sz w:val="21"/>
                <w:szCs w:val="21"/>
              </w:rPr>
              <w:t>277,762,688</w:t>
            </w:r>
          </w:p>
        </w:tc>
      </w:tr>
      <w:tr w:rsidR="005945E7" w:rsidRPr="009E178B" w14:paraId="558DC0B5" w14:textId="77777777" w:rsidTr="00C03DC3">
        <w:trPr>
          <w:trHeight w:val="260"/>
        </w:trPr>
        <w:tc>
          <w:tcPr>
            <w:tcW w:w="2008" w:type="dxa"/>
            <w:tcBorders>
              <w:top w:val="nil"/>
              <w:left w:val="nil"/>
              <w:bottom w:val="nil"/>
              <w:right w:val="single" w:sz="4" w:space="0" w:color="FFFFFF"/>
            </w:tcBorders>
            <w:shd w:val="clear" w:color="auto" w:fill="E7E6E6"/>
            <w:tcMar>
              <w:top w:w="80" w:type="dxa"/>
              <w:left w:w="80" w:type="dxa"/>
              <w:bottom w:w="80" w:type="dxa"/>
              <w:right w:w="80" w:type="dxa"/>
            </w:tcMar>
            <w:vAlign w:val="bottom"/>
          </w:tcPr>
          <w:p w14:paraId="7D408A29" w14:textId="77777777" w:rsidR="005945E7" w:rsidRPr="009E178B" w:rsidRDefault="005945E7" w:rsidP="00FC2EE2">
            <w:pPr>
              <w:pStyle w:val="Body"/>
              <w:spacing w:line="360" w:lineRule="auto"/>
              <w:jc w:val="both"/>
              <w:rPr>
                <w:color w:val="000000" w:themeColor="text1"/>
              </w:rPr>
            </w:pPr>
            <w:r w:rsidRPr="009E178B">
              <w:rPr>
                <w:color w:val="000000" w:themeColor="text1"/>
                <w:sz w:val="21"/>
                <w:szCs w:val="21"/>
              </w:rPr>
              <w:t>Discount rate 0%</w:t>
            </w:r>
          </w:p>
        </w:tc>
        <w:tc>
          <w:tcPr>
            <w:tcW w:w="1569" w:type="dxa"/>
            <w:tcBorders>
              <w:top w:val="nil"/>
              <w:left w:val="single" w:sz="4" w:space="0" w:color="FFFFFF"/>
              <w:bottom w:val="nil"/>
              <w:right w:val="single" w:sz="4" w:space="0" w:color="FFFFFF"/>
            </w:tcBorders>
            <w:shd w:val="clear" w:color="auto" w:fill="E7E6E6"/>
            <w:tcMar>
              <w:top w:w="80" w:type="dxa"/>
              <w:left w:w="80" w:type="dxa"/>
              <w:bottom w:w="80" w:type="dxa"/>
              <w:right w:w="80" w:type="dxa"/>
            </w:tcMar>
            <w:vAlign w:val="bottom"/>
          </w:tcPr>
          <w:p w14:paraId="30014B12" w14:textId="77777777" w:rsidR="005945E7" w:rsidRPr="009E178B" w:rsidRDefault="005945E7" w:rsidP="00FC2EE2">
            <w:pPr>
              <w:pStyle w:val="Body"/>
              <w:spacing w:line="360" w:lineRule="auto"/>
              <w:jc w:val="both"/>
              <w:rPr>
                <w:color w:val="000000" w:themeColor="text1"/>
              </w:rPr>
            </w:pPr>
            <w:r w:rsidRPr="009E178B">
              <w:rPr>
                <w:color w:val="000000" w:themeColor="text1"/>
                <w:sz w:val="21"/>
                <w:szCs w:val="21"/>
              </w:rPr>
              <w:t>262,782,865</w:t>
            </w:r>
          </w:p>
        </w:tc>
        <w:tc>
          <w:tcPr>
            <w:tcW w:w="1613" w:type="dxa"/>
            <w:tcBorders>
              <w:top w:val="nil"/>
              <w:left w:val="single" w:sz="4" w:space="0" w:color="FFFFFF"/>
              <w:bottom w:val="nil"/>
              <w:right w:val="nil"/>
            </w:tcBorders>
            <w:shd w:val="clear" w:color="auto" w:fill="E7E6E6"/>
            <w:tcMar>
              <w:top w:w="80" w:type="dxa"/>
              <w:left w:w="80" w:type="dxa"/>
              <w:bottom w:w="80" w:type="dxa"/>
              <w:right w:w="80" w:type="dxa"/>
            </w:tcMar>
            <w:vAlign w:val="bottom"/>
          </w:tcPr>
          <w:p w14:paraId="3CA9B4E6" w14:textId="77777777" w:rsidR="005945E7" w:rsidRPr="009E178B" w:rsidRDefault="005945E7" w:rsidP="00FC2EE2">
            <w:pPr>
              <w:pStyle w:val="Body"/>
              <w:spacing w:line="360" w:lineRule="auto"/>
              <w:jc w:val="both"/>
              <w:rPr>
                <w:color w:val="000000" w:themeColor="text1"/>
              </w:rPr>
            </w:pPr>
            <w:r w:rsidRPr="009E178B">
              <w:rPr>
                <w:color w:val="000000" w:themeColor="text1"/>
                <w:sz w:val="21"/>
                <w:szCs w:val="21"/>
              </w:rPr>
              <w:t>323,328,030</w:t>
            </w:r>
          </w:p>
        </w:tc>
      </w:tr>
      <w:tr w:rsidR="005945E7" w:rsidRPr="009E178B" w14:paraId="3D0011F3" w14:textId="77777777" w:rsidTr="00C03DC3">
        <w:trPr>
          <w:trHeight w:val="260"/>
        </w:trPr>
        <w:tc>
          <w:tcPr>
            <w:tcW w:w="2008" w:type="dxa"/>
            <w:tcBorders>
              <w:top w:val="nil"/>
              <w:left w:val="nil"/>
              <w:bottom w:val="nil"/>
              <w:right w:val="single" w:sz="4" w:space="0" w:color="FFFFFF"/>
            </w:tcBorders>
            <w:shd w:val="clear" w:color="auto" w:fill="E7E6E6"/>
            <w:tcMar>
              <w:top w:w="80" w:type="dxa"/>
              <w:left w:w="80" w:type="dxa"/>
              <w:bottom w:w="80" w:type="dxa"/>
              <w:right w:w="80" w:type="dxa"/>
            </w:tcMar>
            <w:vAlign w:val="bottom"/>
          </w:tcPr>
          <w:p w14:paraId="3A26C1D6" w14:textId="77777777" w:rsidR="005945E7" w:rsidRPr="009E178B" w:rsidRDefault="005945E7" w:rsidP="00FC2EE2">
            <w:pPr>
              <w:pStyle w:val="Body"/>
              <w:spacing w:line="360" w:lineRule="auto"/>
              <w:jc w:val="both"/>
              <w:rPr>
                <w:color w:val="000000" w:themeColor="text1"/>
              </w:rPr>
            </w:pPr>
            <w:r w:rsidRPr="009E178B">
              <w:rPr>
                <w:color w:val="000000" w:themeColor="text1"/>
                <w:sz w:val="21"/>
                <w:szCs w:val="21"/>
              </w:rPr>
              <w:t>Discount rate 2%</w:t>
            </w:r>
          </w:p>
        </w:tc>
        <w:tc>
          <w:tcPr>
            <w:tcW w:w="1569" w:type="dxa"/>
            <w:tcBorders>
              <w:top w:val="nil"/>
              <w:left w:val="single" w:sz="4" w:space="0" w:color="FFFFFF"/>
              <w:bottom w:val="nil"/>
              <w:right w:val="single" w:sz="4" w:space="0" w:color="FFFFFF"/>
            </w:tcBorders>
            <w:shd w:val="clear" w:color="auto" w:fill="E7E6E6"/>
            <w:tcMar>
              <w:top w:w="80" w:type="dxa"/>
              <w:left w:w="80" w:type="dxa"/>
              <w:bottom w:w="80" w:type="dxa"/>
              <w:right w:w="80" w:type="dxa"/>
            </w:tcMar>
            <w:vAlign w:val="bottom"/>
          </w:tcPr>
          <w:p w14:paraId="7BE6FFA9" w14:textId="77777777" w:rsidR="005945E7" w:rsidRPr="009E178B" w:rsidRDefault="005945E7" w:rsidP="00FC2EE2">
            <w:pPr>
              <w:pStyle w:val="Body"/>
              <w:spacing w:line="360" w:lineRule="auto"/>
              <w:jc w:val="both"/>
              <w:rPr>
                <w:color w:val="000000" w:themeColor="text1"/>
              </w:rPr>
            </w:pPr>
            <w:r w:rsidRPr="009E178B">
              <w:rPr>
                <w:color w:val="000000" w:themeColor="text1"/>
                <w:sz w:val="21"/>
                <w:szCs w:val="21"/>
              </w:rPr>
              <w:t>261,251,417</w:t>
            </w:r>
          </w:p>
        </w:tc>
        <w:tc>
          <w:tcPr>
            <w:tcW w:w="1613" w:type="dxa"/>
            <w:tcBorders>
              <w:top w:val="nil"/>
              <w:left w:val="single" w:sz="4" w:space="0" w:color="FFFFFF"/>
              <w:bottom w:val="nil"/>
              <w:right w:val="nil"/>
            </w:tcBorders>
            <w:shd w:val="clear" w:color="auto" w:fill="E7E6E6"/>
            <w:tcMar>
              <w:top w:w="80" w:type="dxa"/>
              <w:left w:w="80" w:type="dxa"/>
              <w:bottom w:w="80" w:type="dxa"/>
              <w:right w:w="80" w:type="dxa"/>
            </w:tcMar>
            <w:vAlign w:val="bottom"/>
          </w:tcPr>
          <w:p w14:paraId="67EAFD30" w14:textId="77777777" w:rsidR="005945E7" w:rsidRPr="009E178B" w:rsidRDefault="005945E7" w:rsidP="00FC2EE2">
            <w:pPr>
              <w:pStyle w:val="Body"/>
              <w:spacing w:line="360" w:lineRule="auto"/>
              <w:jc w:val="both"/>
              <w:rPr>
                <w:color w:val="000000" w:themeColor="text1"/>
              </w:rPr>
            </w:pPr>
            <w:r w:rsidRPr="009E178B">
              <w:rPr>
                <w:color w:val="000000" w:themeColor="text1"/>
                <w:sz w:val="21"/>
                <w:szCs w:val="21"/>
              </w:rPr>
              <w:t>277,571,002</w:t>
            </w:r>
          </w:p>
        </w:tc>
      </w:tr>
      <w:tr w:rsidR="005945E7" w:rsidRPr="009E178B" w14:paraId="7DC073C8" w14:textId="77777777" w:rsidTr="00C03DC3">
        <w:trPr>
          <w:trHeight w:val="260"/>
        </w:trPr>
        <w:tc>
          <w:tcPr>
            <w:tcW w:w="2008" w:type="dxa"/>
            <w:tcBorders>
              <w:top w:val="nil"/>
              <w:left w:val="nil"/>
              <w:bottom w:val="nil"/>
              <w:right w:val="single" w:sz="4" w:space="0" w:color="FFFFFF"/>
            </w:tcBorders>
            <w:shd w:val="clear" w:color="auto" w:fill="E7E6E6"/>
            <w:tcMar>
              <w:top w:w="80" w:type="dxa"/>
              <w:left w:w="80" w:type="dxa"/>
              <w:bottom w:w="80" w:type="dxa"/>
              <w:right w:w="80" w:type="dxa"/>
            </w:tcMar>
            <w:vAlign w:val="bottom"/>
          </w:tcPr>
          <w:p w14:paraId="46BD6640" w14:textId="77777777" w:rsidR="005945E7" w:rsidRPr="009E178B" w:rsidRDefault="005945E7" w:rsidP="00FC2EE2">
            <w:pPr>
              <w:pStyle w:val="Body"/>
              <w:spacing w:line="360" w:lineRule="auto"/>
              <w:jc w:val="both"/>
              <w:rPr>
                <w:color w:val="000000" w:themeColor="text1"/>
              </w:rPr>
            </w:pPr>
            <w:r w:rsidRPr="009E178B">
              <w:rPr>
                <w:color w:val="000000" w:themeColor="text1"/>
                <w:sz w:val="21"/>
                <w:szCs w:val="21"/>
              </w:rPr>
              <w:t>Discount rate 6%</w:t>
            </w:r>
          </w:p>
        </w:tc>
        <w:tc>
          <w:tcPr>
            <w:tcW w:w="1569" w:type="dxa"/>
            <w:tcBorders>
              <w:top w:val="nil"/>
              <w:left w:val="single" w:sz="4" w:space="0" w:color="FFFFFF"/>
              <w:bottom w:val="nil"/>
              <w:right w:val="single" w:sz="4" w:space="0" w:color="FFFFFF"/>
            </w:tcBorders>
            <w:shd w:val="clear" w:color="auto" w:fill="E7E6E6"/>
            <w:tcMar>
              <w:top w:w="80" w:type="dxa"/>
              <w:left w:w="80" w:type="dxa"/>
              <w:bottom w:w="80" w:type="dxa"/>
              <w:right w:w="80" w:type="dxa"/>
            </w:tcMar>
            <w:vAlign w:val="bottom"/>
          </w:tcPr>
          <w:p w14:paraId="6B089052" w14:textId="77777777" w:rsidR="005945E7" w:rsidRPr="009E178B" w:rsidRDefault="005945E7" w:rsidP="00FC2EE2">
            <w:pPr>
              <w:pStyle w:val="Body"/>
              <w:spacing w:line="360" w:lineRule="auto"/>
              <w:jc w:val="both"/>
              <w:rPr>
                <w:color w:val="000000" w:themeColor="text1"/>
              </w:rPr>
            </w:pPr>
            <w:r w:rsidRPr="009E178B">
              <w:rPr>
                <w:color w:val="000000" w:themeColor="text1"/>
                <w:sz w:val="21"/>
                <w:szCs w:val="21"/>
              </w:rPr>
              <w:t>258,361,893</w:t>
            </w:r>
          </w:p>
        </w:tc>
        <w:tc>
          <w:tcPr>
            <w:tcW w:w="1613" w:type="dxa"/>
            <w:tcBorders>
              <w:top w:val="nil"/>
              <w:left w:val="single" w:sz="4" w:space="0" w:color="FFFFFF"/>
              <w:bottom w:val="nil"/>
              <w:right w:val="nil"/>
            </w:tcBorders>
            <w:shd w:val="clear" w:color="auto" w:fill="E7E6E6"/>
            <w:tcMar>
              <w:top w:w="80" w:type="dxa"/>
              <w:left w:w="80" w:type="dxa"/>
              <w:bottom w:w="80" w:type="dxa"/>
              <w:right w:w="80" w:type="dxa"/>
            </w:tcMar>
            <w:vAlign w:val="bottom"/>
          </w:tcPr>
          <w:p w14:paraId="42958948" w14:textId="77777777" w:rsidR="005945E7" w:rsidRPr="009E178B" w:rsidRDefault="005945E7" w:rsidP="00FC2EE2">
            <w:pPr>
              <w:pStyle w:val="Body"/>
              <w:spacing w:line="360" w:lineRule="auto"/>
              <w:jc w:val="both"/>
              <w:rPr>
                <w:color w:val="000000" w:themeColor="text1"/>
              </w:rPr>
            </w:pPr>
            <w:r w:rsidRPr="009E178B">
              <w:rPr>
                <w:color w:val="000000" w:themeColor="text1"/>
                <w:sz w:val="21"/>
                <w:szCs w:val="21"/>
              </w:rPr>
              <w:t>215,540,467</w:t>
            </w:r>
          </w:p>
        </w:tc>
      </w:tr>
      <w:tr w:rsidR="005945E7" w:rsidRPr="009E178B" w14:paraId="530E98F2" w14:textId="77777777" w:rsidTr="00C03DC3">
        <w:trPr>
          <w:trHeight w:val="260"/>
        </w:trPr>
        <w:tc>
          <w:tcPr>
            <w:tcW w:w="2008" w:type="dxa"/>
            <w:tcBorders>
              <w:top w:val="nil"/>
              <w:left w:val="nil"/>
              <w:bottom w:val="nil"/>
              <w:right w:val="single" w:sz="4" w:space="0" w:color="FFFFFF"/>
            </w:tcBorders>
            <w:shd w:val="clear" w:color="auto" w:fill="E7E6E6"/>
            <w:tcMar>
              <w:top w:w="80" w:type="dxa"/>
              <w:left w:w="80" w:type="dxa"/>
              <w:bottom w:w="80" w:type="dxa"/>
              <w:right w:w="80" w:type="dxa"/>
            </w:tcMar>
            <w:vAlign w:val="bottom"/>
          </w:tcPr>
          <w:p w14:paraId="5B26BDAF" w14:textId="77777777" w:rsidR="005945E7" w:rsidRPr="009E178B" w:rsidRDefault="005945E7" w:rsidP="00FC2EE2">
            <w:pPr>
              <w:pStyle w:val="Body"/>
              <w:spacing w:line="360" w:lineRule="auto"/>
              <w:jc w:val="both"/>
              <w:rPr>
                <w:color w:val="000000" w:themeColor="text1"/>
              </w:rPr>
            </w:pPr>
            <w:r w:rsidRPr="009E178B">
              <w:rPr>
                <w:color w:val="000000" w:themeColor="text1"/>
                <w:sz w:val="21"/>
                <w:szCs w:val="21"/>
              </w:rPr>
              <w:t>Emancipation</w:t>
            </w:r>
          </w:p>
        </w:tc>
        <w:tc>
          <w:tcPr>
            <w:tcW w:w="1569" w:type="dxa"/>
            <w:tcBorders>
              <w:top w:val="nil"/>
              <w:left w:val="single" w:sz="4" w:space="0" w:color="FFFFFF"/>
              <w:bottom w:val="nil"/>
              <w:right w:val="single" w:sz="4" w:space="0" w:color="FFFFFF"/>
            </w:tcBorders>
            <w:shd w:val="clear" w:color="auto" w:fill="E7E6E6"/>
            <w:tcMar>
              <w:top w:w="80" w:type="dxa"/>
              <w:left w:w="80" w:type="dxa"/>
              <w:bottom w:w="80" w:type="dxa"/>
              <w:right w:w="80" w:type="dxa"/>
            </w:tcMar>
            <w:vAlign w:val="bottom"/>
          </w:tcPr>
          <w:p w14:paraId="7847D07E" w14:textId="77777777" w:rsidR="005945E7" w:rsidRPr="009E178B" w:rsidRDefault="005945E7" w:rsidP="00FC2EE2">
            <w:pPr>
              <w:pStyle w:val="Body"/>
              <w:spacing w:line="360" w:lineRule="auto"/>
              <w:jc w:val="both"/>
              <w:rPr>
                <w:color w:val="000000" w:themeColor="text1"/>
              </w:rPr>
            </w:pPr>
            <w:r w:rsidRPr="009E178B">
              <w:rPr>
                <w:color w:val="000000" w:themeColor="text1"/>
                <w:sz w:val="21"/>
                <w:szCs w:val="21"/>
              </w:rPr>
              <w:t>334,588,716</w:t>
            </w:r>
          </w:p>
        </w:tc>
        <w:tc>
          <w:tcPr>
            <w:tcW w:w="1613" w:type="dxa"/>
            <w:tcBorders>
              <w:top w:val="nil"/>
              <w:left w:val="single" w:sz="4" w:space="0" w:color="FFFFFF"/>
              <w:bottom w:val="nil"/>
              <w:right w:val="nil"/>
            </w:tcBorders>
            <w:shd w:val="clear" w:color="auto" w:fill="E7E6E6"/>
            <w:tcMar>
              <w:top w:w="80" w:type="dxa"/>
              <w:left w:w="80" w:type="dxa"/>
              <w:bottom w:w="80" w:type="dxa"/>
              <w:right w:w="80" w:type="dxa"/>
            </w:tcMar>
            <w:vAlign w:val="bottom"/>
          </w:tcPr>
          <w:p w14:paraId="76165D84" w14:textId="77777777" w:rsidR="005945E7" w:rsidRPr="009E178B" w:rsidRDefault="005945E7" w:rsidP="00FC2EE2">
            <w:pPr>
              <w:pStyle w:val="Body"/>
              <w:spacing w:line="360" w:lineRule="auto"/>
              <w:jc w:val="both"/>
              <w:rPr>
                <w:color w:val="000000" w:themeColor="text1"/>
              </w:rPr>
            </w:pPr>
            <w:r w:rsidRPr="009E178B">
              <w:rPr>
                <w:color w:val="000000" w:themeColor="text1"/>
                <w:sz w:val="21"/>
                <w:szCs w:val="21"/>
              </w:rPr>
              <w:t>317,710,742</w:t>
            </w:r>
          </w:p>
        </w:tc>
      </w:tr>
      <w:tr w:rsidR="005945E7" w:rsidRPr="009E178B" w14:paraId="794976AC" w14:textId="77777777" w:rsidTr="00C03DC3">
        <w:trPr>
          <w:trHeight w:val="255"/>
        </w:trPr>
        <w:tc>
          <w:tcPr>
            <w:tcW w:w="2008" w:type="dxa"/>
            <w:tcBorders>
              <w:top w:val="nil"/>
              <w:left w:val="nil"/>
              <w:bottom w:val="single" w:sz="4" w:space="0" w:color="000000"/>
              <w:right w:val="single" w:sz="4" w:space="0" w:color="FFFFFF"/>
            </w:tcBorders>
            <w:shd w:val="clear" w:color="auto" w:fill="E7E6E6"/>
            <w:tcMar>
              <w:top w:w="80" w:type="dxa"/>
              <w:left w:w="80" w:type="dxa"/>
              <w:bottom w:w="80" w:type="dxa"/>
              <w:right w:w="80" w:type="dxa"/>
            </w:tcMar>
            <w:vAlign w:val="bottom"/>
          </w:tcPr>
          <w:p w14:paraId="720E6FD3" w14:textId="77777777" w:rsidR="005945E7" w:rsidRPr="009E178B" w:rsidRDefault="005945E7" w:rsidP="00FC2EE2">
            <w:pPr>
              <w:spacing w:line="360" w:lineRule="auto"/>
              <w:jc w:val="both"/>
              <w:rPr>
                <w:rFonts w:ascii="Calibri" w:hAnsi="Calibri"/>
                <w:color w:val="000000" w:themeColor="text1"/>
              </w:rPr>
            </w:pPr>
            <w:r w:rsidRPr="009E178B">
              <w:rPr>
                <w:rFonts w:ascii="Calibri" w:hAnsi="Calibri" w:cs="Arial Unicode MS"/>
                <w:color w:val="000000" w:themeColor="text1"/>
                <w:sz w:val="21"/>
                <w:szCs w:val="21"/>
                <w:u w:color="000000"/>
              </w:rPr>
              <w:t>Friction Cost Approach</w:t>
            </w:r>
          </w:p>
        </w:tc>
        <w:tc>
          <w:tcPr>
            <w:tcW w:w="1569" w:type="dxa"/>
            <w:tcBorders>
              <w:top w:val="nil"/>
              <w:left w:val="single" w:sz="4" w:space="0" w:color="FFFFFF"/>
              <w:bottom w:val="single" w:sz="4" w:space="0" w:color="000000"/>
              <w:right w:val="single" w:sz="4" w:space="0" w:color="FFFFFF"/>
            </w:tcBorders>
            <w:shd w:val="clear" w:color="auto" w:fill="E7E6E6"/>
            <w:tcMar>
              <w:top w:w="80" w:type="dxa"/>
              <w:left w:w="80" w:type="dxa"/>
              <w:bottom w:w="80" w:type="dxa"/>
              <w:right w:w="80" w:type="dxa"/>
            </w:tcMar>
            <w:vAlign w:val="bottom"/>
          </w:tcPr>
          <w:p w14:paraId="2EE4F1C8" w14:textId="77777777" w:rsidR="005945E7" w:rsidRPr="009E178B" w:rsidRDefault="005945E7" w:rsidP="00FC2EE2">
            <w:pPr>
              <w:spacing w:line="360" w:lineRule="auto"/>
              <w:jc w:val="both"/>
              <w:rPr>
                <w:rFonts w:ascii="Calibri" w:hAnsi="Calibri"/>
                <w:color w:val="000000" w:themeColor="text1"/>
              </w:rPr>
            </w:pPr>
            <w:r w:rsidRPr="009E178B">
              <w:rPr>
                <w:rFonts w:ascii="Calibri" w:hAnsi="Calibri" w:cs="Arial Unicode MS"/>
                <w:color w:val="000000" w:themeColor="text1"/>
                <w:sz w:val="21"/>
                <w:szCs w:val="21"/>
                <w:u w:color="000000"/>
              </w:rPr>
              <w:t>43,007,445</w:t>
            </w:r>
          </w:p>
        </w:tc>
        <w:tc>
          <w:tcPr>
            <w:tcW w:w="1613" w:type="dxa"/>
            <w:tcBorders>
              <w:top w:val="nil"/>
              <w:left w:val="single" w:sz="4" w:space="0" w:color="FFFFFF"/>
              <w:bottom w:val="single" w:sz="4" w:space="0" w:color="000000"/>
              <w:right w:val="nil"/>
            </w:tcBorders>
            <w:shd w:val="clear" w:color="auto" w:fill="E7E6E6"/>
            <w:tcMar>
              <w:top w:w="80" w:type="dxa"/>
              <w:left w:w="80" w:type="dxa"/>
              <w:bottom w:w="80" w:type="dxa"/>
              <w:right w:w="80" w:type="dxa"/>
            </w:tcMar>
            <w:vAlign w:val="bottom"/>
          </w:tcPr>
          <w:p w14:paraId="201C5083" w14:textId="77777777" w:rsidR="005945E7" w:rsidRPr="009E178B" w:rsidRDefault="005945E7" w:rsidP="00FC2EE2">
            <w:pPr>
              <w:spacing w:line="360" w:lineRule="auto"/>
              <w:jc w:val="both"/>
              <w:rPr>
                <w:rFonts w:ascii="Calibri" w:hAnsi="Calibri"/>
                <w:color w:val="000000" w:themeColor="text1"/>
              </w:rPr>
            </w:pPr>
            <w:r w:rsidRPr="009E178B">
              <w:rPr>
                <w:rFonts w:ascii="Calibri" w:hAnsi="Calibri" w:cs="Arial Unicode MS"/>
                <w:color w:val="000000" w:themeColor="text1"/>
                <w:sz w:val="21"/>
                <w:szCs w:val="21"/>
                <w:u w:color="000000"/>
              </w:rPr>
              <w:t>6,098,828</w:t>
            </w:r>
          </w:p>
        </w:tc>
      </w:tr>
    </w:tbl>
    <w:p w14:paraId="125A9076" w14:textId="77777777" w:rsidR="00246FD9" w:rsidRDefault="00246FD9" w:rsidP="00FC2EE2">
      <w:pPr>
        <w:jc w:val="both"/>
      </w:pPr>
    </w:p>
    <w:p w14:paraId="1BDD9B87" w14:textId="77777777" w:rsidR="00625C00" w:rsidRDefault="00625C0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b/>
        </w:rPr>
      </w:pPr>
      <w:r>
        <w:rPr>
          <w:b/>
        </w:rPr>
        <w:br w:type="page"/>
      </w:r>
    </w:p>
    <w:p w14:paraId="3764A89A" w14:textId="5D232D6E" w:rsidR="00246FD9" w:rsidRDefault="00875738" w:rsidP="00FC2EE2">
      <w:pPr>
        <w:jc w:val="both"/>
        <w:rPr>
          <w:b/>
        </w:rPr>
      </w:pPr>
      <w:r>
        <w:rPr>
          <w:b/>
        </w:rPr>
        <w:lastRenderedPageBreak/>
        <w:t>Additional file 1</w:t>
      </w:r>
      <w:bookmarkStart w:id="0" w:name="_GoBack"/>
      <w:bookmarkEnd w:id="0"/>
      <w:r w:rsidR="00131CB4">
        <w:rPr>
          <w:b/>
        </w:rPr>
        <w:t>. DALY Calculation</w:t>
      </w:r>
    </w:p>
    <w:p w14:paraId="2BA4FC74" w14:textId="77777777" w:rsidR="00131CB4" w:rsidRDefault="00131CB4" w:rsidP="00FC2EE2">
      <w:pPr>
        <w:jc w:val="both"/>
        <w:rPr>
          <w:b/>
        </w:rPr>
      </w:pPr>
    </w:p>
    <w:p w14:paraId="7375C62E" w14:textId="77777777" w:rsidR="00131CB4" w:rsidRPr="00131CB4" w:rsidRDefault="00131CB4" w:rsidP="00FC2EE2">
      <w:pPr>
        <w:jc w:val="both"/>
      </w:pPr>
      <w:r>
        <w:t xml:space="preserve">One </w:t>
      </w:r>
      <w:r w:rsidR="00255440">
        <w:t>Disability Adjusted Life Year (</w:t>
      </w:r>
      <w:r>
        <w:t>DALY</w:t>
      </w:r>
      <w:r w:rsidR="00255440">
        <w:t>)</w:t>
      </w:r>
      <w:r>
        <w:t xml:space="preserve"> represents one lost year of life in perfect health.</w:t>
      </w:r>
      <w:r w:rsidR="008D2871">
        <w:t xml:space="preserve"> The total number of DALYs lost due to a disease can be seen as measurement of the gap between the current status and the ideal health situation</w:t>
      </w:r>
      <w:r w:rsidR="00076C13">
        <w:t xml:space="preserve"> where all patients would live to an advanced age, free of disability</w:t>
      </w:r>
      <w:r w:rsidR="00CC7DB0">
        <w:t xml:space="preserve"> </w:t>
      </w:r>
      <w:r w:rsidR="00076C13">
        <w:t>[5].</w:t>
      </w:r>
    </w:p>
    <w:p w14:paraId="0840BCF7" w14:textId="77777777" w:rsidR="00131CB4" w:rsidRDefault="00131CB4" w:rsidP="00FC2EE2">
      <w:pPr>
        <w:jc w:val="both"/>
      </w:pPr>
    </w:p>
    <w:p w14:paraId="369DF2B9" w14:textId="77777777" w:rsidR="001E3810" w:rsidRDefault="001E3810" w:rsidP="00FC2EE2">
      <w:pPr>
        <w:jc w:val="both"/>
      </w:pPr>
      <w:r>
        <w:t>The total DALYs are calculated</w:t>
      </w:r>
      <w:r w:rsidR="00CC133A">
        <w:t xml:space="preserve"> by using both annual incidence and mortality data</w:t>
      </w:r>
      <w:r w:rsidR="00262371">
        <w:t xml:space="preserve"> from 1990 until 2014 using the following equation:</w:t>
      </w:r>
    </w:p>
    <w:p w14:paraId="77CCFBE3" w14:textId="77777777" w:rsidR="00625C00" w:rsidRDefault="00625C00" w:rsidP="00FC2EE2">
      <w:pPr>
        <w:jc w:val="both"/>
      </w:pPr>
    </w:p>
    <w:p w14:paraId="64757660" w14:textId="77777777" w:rsidR="00262371" w:rsidRPr="00625C00" w:rsidRDefault="00765770" w:rsidP="00FC2EE2">
      <w:pPr>
        <w:jc w:val="both"/>
      </w:pPr>
      <m:oMathPara>
        <m:oMath>
          <m:r>
            <w:rPr>
              <w:rFonts w:ascii="Cambria Math" w:hAnsi="Cambria Math"/>
            </w:rPr>
            <m:t>DALY=YLL+YLD</m:t>
          </m:r>
        </m:oMath>
      </m:oMathPara>
    </w:p>
    <w:p w14:paraId="1FA43A99" w14:textId="77777777" w:rsidR="00625C00" w:rsidRDefault="00625C00" w:rsidP="00FC2EE2">
      <w:pPr>
        <w:jc w:val="both"/>
      </w:pPr>
    </w:p>
    <w:p w14:paraId="094B328B" w14:textId="77777777" w:rsidR="00764BDC" w:rsidRDefault="00F07103" w:rsidP="00FC2EE2">
      <w:pPr>
        <w:jc w:val="both"/>
      </w:pPr>
      <w:r>
        <w:t>Where YLL is the sum of years</w:t>
      </w:r>
      <w:r w:rsidR="00934170">
        <w:t xml:space="preserve"> of</w:t>
      </w:r>
      <w:r>
        <w:t xml:space="preserve"> </w:t>
      </w:r>
      <w:r w:rsidR="009979C5">
        <w:t xml:space="preserve">life lost </w:t>
      </w:r>
      <w:r w:rsidR="00CE3493">
        <w:t xml:space="preserve">by patients with breast cancer </w:t>
      </w:r>
      <w:r w:rsidR="009979C5">
        <w:t>due to premature mortality in</w:t>
      </w:r>
      <w:r w:rsidR="00CE3493">
        <w:t xml:space="preserve"> a certain year of interest</w:t>
      </w:r>
      <w:r w:rsidR="00764BDC">
        <w:t xml:space="preserve">. The number of </w:t>
      </w:r>
      <w:r w:rsidR="00887880">
        <w:t>life years</w:t>
      </w:r>
      <w:r w:rsidR="00764BDC">
        <w:t xml:space="preserve"> lost due to early </w:t>
      </w:r>
      <w:r w:rsidR="00887880">
        <w:t>mortality</w:t>
      </w:r>
      <w:r w:rsidR="00764BDC">
        <w:t xml:space="preserve"> depends on the </w:t>
      </w:r>
      <w:r w:rsidR="00887880">
        <w:t>standard</w:t>
      </w:r>
      <w:r w:rsidR="00764BDC">
        <w:t xml:space="preserve"> life expectancy at the age of death in years. </w:t>
      </w:r>
      <w:r w:rsidR="00831920">
        <w:t>The YLL is calculated by the following equation:</w:t>
      </w:r>
    </w:p>
    <w:p w14:paraId="24DEC707" w14:textId="77777777" w:rsidR="00831920" w:rsidRPr="00625C00" w:rsidRDefault="00831920" w:rsidP="00FC2EE2">
      <w:pPr>
        <w:jc w:val="both"/>
      </w:pPr>
      <m:oMathPara>
        <m:oMath>
          <m:r>
            <w:rPr>
              <w:rFonts w:ascii="Cambria Math" w:hAnsi="Cambria Math"/>
            </w:rPr>
            <m:t>YLL=N×L</m:t>
          </m:r>
        </m:oMath>
      </m:oMathPara>
    </w:p>
    <w:p w14:paraId="0DE82AC1" w14:textId="77777777" w:rsidR="00625C00" w:rsidRPr="00831920" w:rsidRDefault="00625C00" w:rsidP="00FC2EE2">
      <w:pPr>
        <w:jc w:val="both"/>
      </w:pPr>
    </w:p>
    <w:p w14:paraId="11862ACB" w14:textId="5D655984" w:rsidR="00831920" w:rsidRDefault="00831920" w:rsidP="00FC2EE2">
      <w:pPr>
        <w:jc w:val="both"/>
      </w:pPr>
      <w:r>
        <w:t>where N = the number of deaths in the corresponding year</w:t>
      </w:r>
      <w:r w:rsidR="00553425">
        <w:t xml:space="preserve"> </w:t>
      </w:r>
      <w:r w:rsidR="00625C00">
        <w:t xml:space="preserve">and </w:t>
      </w:r>
      <w:r w:rsidR="00553425">
        <w:t>L= the standard life expectancy at the age of death in years.</w:t>
      </w:r>
    </w:p>
    <w:p w14:paraId="632459A7" w14:textId="77777777" w:rsidR="00553425" w:rsidRPr="0031472D" w:rsidRDefault="00553425" w:rsidP="00FC2EE2">
      <w:pPr>
        <w:jc w:val="both"/>
        <w:rPr>
          <w:color w:val="000000" w:themeColor="text1"/>
        </w:rPr>
      </w:pPr>
    </w:p>
    <w:p w14:paraId="04904672" w14:textId="7544458E" w:rsidR="00C82AF4" w:rsidRDefault="007D393C" w:rsidP="00FC2EE2">
      <w:pPr>
        <w:jc w:val="both"/>
        <w:rPr>
          <w:color w:val="000000" w:themeColor="text1"/>
        </w:rPr>
      </w:pPr>
      <w:r w:rsidRPr="0031472D">
        <w:rPr>
          <w:color w:val="000000" w:themeColor="text1"/>
        </w:rPr>
        <w:t xml:space="preserve">The YLD is the </w:t>
      </w:r>
      <w:r w:rsidR="007C32F7" w:rsidRPr="0031472D">
        <w:rPr>
          <w:color w:val="000000" w:themeColor="text1"/>
        </w:rPr>
        <w:t xml:space="preserve">number of years lost due to disability </w:t>
      </w:r>
      <w:r w:rsidR="00783D02" w:rsidRPr="0031472D">
        <w:rPr>
          <w:color w:val="000000" w:themeColor="text1"/>
        </w:rPr>
        <w:t>by</w:t>
      </w:r>
      <w:r w:rsidR="007C32F7" w:rsidRPr="0031472D">
        <w:rPr>
          <w:color w:val="000000" w:themeColor="text1"/>
        </w:rPr>
        <w:t xml:space="preserve"> living with breast cancer. </w:t>
      </w:r>
      <w:r w:rsidR="00553425" w:rsidRPr="0031472D">
        <w:rPr>
          <w:color w:val="000000" w:themeColor="text1"/>
        </w:rPr>
        <w:t xml:space="preserve">To estimate YLD for </w:t>
      </w:r>
      <w:r w:rsidR="00C82AF4" w:rsidRPr="0031472D">
        <w:rPr>
          <w:color w:val="000000" w:themeColor="text1"/>
        </w:rPr>
        <w:t>breast cancer</w:t>
      </w:r>
      <w:r w:rsidR="00553425" w:rsidRPr="0031472D">
        <w:rPr>
          <w:color w:val="000000" w:themeColor="text1"/>
        </w:rPr>
        <w:t xml:space="preserve"> in a particular </w:t>
      </w:r>
      <w:r w:rsidR="00BA5D81" w:rsidRPr="0031472D">
        <w:rPr>
          <w:color w:val="000000" w:themeColor="text1"/>
        </w:rPr>
        <w:t>year</w:t>
      </w:r>
      <w:r w:rsidR="00553425" w:rsidRPr="0031472D">
        <w:rPr>
          <w:color w:val="000000" w:themeColor="text1"/>
        </w:rPr>
        <w:t xml:space="preserve">, the number of incident cases in that </w:t>
      </w:r>
      <w:r w:rsidR="00D470D1" w:rsidRPr="0031472D">
        <w:rPr>
          <w:color w:val="000000" w:themeColor="text1"/>
        </w:rPr>
        <w:t>year are</w:t>
      </w:r>
      <w:r w:rsidR="00553425" w:rsidRPr="0031472D">
        <w:rPr>
          <w:color w:val="000000" w:themeColor="text1"/>
        </w:rPr>
        <w:t xml:space="preserve"> multiplied by the average duration of the disease and </w:t>
      </w:r>
      <w:r w:rsidR="00D470D1" w:rsidRPr="0031472D">
        <w:rPr>
          <w:color w:val="000000" w:themeColor="text1"/>
        </w:rPr>
        <w:t>the</w:t>
      </w:r>
      <w:r w:rsidR="00553425" w:rsidRPr="0031472D">
        <w:rPr>
          <w:color w:val="000000" w:themeColor="text1"/>
        </w:rPr>
        <w:t xml:space="preserve"> weight factor that reflects the severity of </w:t>
      </w:r>
      <w:r w:rsidR="00D470D1" w:rsidRPr="0031472D">
        <w:rPr>
          <w:color w:val="000000" w:themeColor="text1"/>
        </w:rPr>
        <w:t>breast cancer</w:t>
      </w:r>
      <w:r w:rsidR="00553425" w:rsidRPr="0031472D">
        <w:rPr>
          <w:color w:val="000000" w:themeColor="text1"/>
        </w:rPr>
        <w:t xml:space="preserve"> on a scale from 0 (perfect health) to 1 (dead).</w:t>
      </w:r>
    </w:p>
    <w:p w14:paraId="1EBCE82F" w14:textId="77777777" w:rsidR="00625C00" w:rsidRDefault="00625C00" w:rsidP="00FC2EE2">
      <w:pPr>
        <w:jc w:val="both"/>
        <w:rPr>
          <w:color w:val="000000" w:themeColor="text1"/>
        </w:rPr>
      </w:pPr>
    </w:p>
    <w:p w14:paraId="528665F8" w14:textId="40726D67" w:rsidR="0031472D" w:rsidRPr="00625C00" w:rsidRDefault="0097631C" w:rsidP="00FC2EE2">
      <w:pPr>
        <w:jc w:val="both"/>
        <w:rPr>
          <w:color w:val="000000" w:themeColor="text1"/>
        </w:rPr>
      </w:pPr>
      <m:oMathPara>
        <m:oMath>
          <m:r>
            <w:rPr>
              <w:rFonts w:ascii="Cambria Math" w:hAnsi="Cambria Math"/>
              <w:color w:val="000000" w:themeColor="text1"/>
            </w:rPr>
            <m:t>YLD=I×DW×L</m:t>
          </m:r>
        </m:oMath>
      </m:oMathPara>
    </w:p>
    <w:p w14:paraId="50242425" w14:textId="77777777" w:rsidR="00625C00" w:rsidRPr="00A542C1" w:rsidRDefault="00625C00" w:rsidP="00FC2EE2">
      <w:pPr>
        <w:jc w:val="both"/>
        <w:rPr>
          <w:color w:val="000000" w:themeColor="text1"/>
        </w:rPr>
      </w:pPr>
    </w:p>
    <w:p w14:paraId="4541086F" w14:textId="53C8CE42" w:rsidR="00365730" w:rsidRDefault="00A542C1" w:rsidP="00FC2EE2">
      <w:pPr>
        <w:jc w:val="both"/>
        <w:rPr>
          <w:color w:val="000000" w:themeColor="text1"/>
        </w:rPr>
      </w:pPr>
      <w:r>
        <w:rPr>
          <w:color w:val="000000" w:themeColor="text1"/>
        </w:rPr>
        <w:t xml:space="preserve">where I = the number of incident cases in the year of interest, DW = the disability weight corresponding with </w:t>
      </w:r>
      <w:r w:rsidR="006E0240">
        <w:rPr>
          <w:color w:val="000000" w:themeColor="text1"/>
        </w:rPr>
        <w:t>breast cancer</w:t>
      </w:r>
      <w:r w:rsidR="00095391">
        <w:rPr>
          <w:color w:val="000000" w:themeColor="text1"/>
        </w:rPr>
        <w:t>, which is 0.38 on average for</w:t>
      </w:r>
      <w:r w:rsidR="006E0240">
        <w:rPr>
          <w:color w:val="000000" w:themeColor="text1"/>
        </w:rPr>
        <w:t xml:space="preserve"> in The Netherlands</w:t>
      </w:r>
      <w:r w:rsidR="00095391">
        <w:rPr>
          <w:color w:val="000000" w:themeColor="text1"/>
        </w:rPr>
        <w:t xml:space="preserve"> [6]</w:t>
      </w:r>
      <w:r w:rsidR="006E0240">
        <w:rPr>
          <w:color w:val="000000" w:themeColor="text1"/>
        </w:rPr>
        <w:t xml:space="preserve"> and L = the average duration of breast cancer from the moment of diagnosis until remission or death</w:t>
      </w:r>
      <w:r w:rsidR="00EF4EF8">
        <w:rPr>
          <w:color w:val="000000" w:themeColor="text1"/>
        </w:rPr>
        <w:t xml:space="preserve"> which is 4.3 years in the Netherlands [7]</w:t>
      </w:r>
      <w:r w:rsidR="006E0240">
        <w:rPr>
          <w:color w:val="000000" w:themeColor="text1"/>
        </w:rPr>
        <w:t>.</w:t>
      </w:r>
      <w:r w:rsidR="00114457">
        <w:rPr>
          <w:color w:val="000000" w:themeColor="text1"/>
        </w:rPr>
        <w:t xml:space="preserve"> Life years</w:t>
      </w:r>
      <w:r w:rsidR="000F06E3">
        <w:rPr>
          <w:color w:val="000000" w:themeColor="text1"/>
        </w:rPr>
        <w:t xml:space="preserve"> lost</w:t>
      </w:r>
      <w:r w:rsidR="00114457">
        <w:rPr>
          <w:color w:val="000000" w:themeColor="text1"/>
        </w:rPr>
        <w:t xml:space="preserve"> were discounted by a discount rate of 1.5% which is the standard rate for utilities in The Netherlands.</w:t>
      </w:r>
    </w:p>
    <w:p w14:paraId="7C85C74F" w14:textId="77777777" w:rsidR="00917C93" w:rsidRDefault="00917C93" w:rsidP="00FC2EE2">
      <w:pPr>
        <w:jc w:val="both"/>
        <w:rPr>
          <w:color w:val="000000" w:themeColor="text1"/>
        </w:rPr>
      </w:pPr>
    </w:p>
    <w:p w14:paraId="5AD56D39" w14:textId="3425ECD5" w:rsidR="00131CB4" w:rsidRDefault="00131CB4" w:rsidP="00FC2EE2">
      <w:pPr>
        <w:jc w:val="both"/>
      </w:pPr>
    </w:p>
    <w:p w14:paraId="48CC0736" w14:textId="77777777" w:rsidR="00246FD9" w:rsidRPr="00246FD9" w:rsidRDefault="00246FD9" w:rsidP="00FC2EE2">
      <w:pPr>
        <w:pStyle w:val="EndNoteBibliography"/>
        <w:ind w:left="720" w:hanging="720"/>
        <w:jc w:val="both"/>
      </w:pPr>
      <w:r>
        <w:fldChar w:fldCharType="begin"/>
      </w:r>
      <w:r w:rsidRPr="00625C00">
        <w:rPr>
          <w:lang w:val="nl-NL"/>
        </w:rPr>
        <w:instrText xml:space="preserve"> ADDIN EN.REFLIST </w:instrText>
      </w:r>
      <w:r>
        <w:fldChar w:fldCharType="separate"/>
      </w:r>
      <w:r w:rsidRPr="00625C00">
        <w:rPr>
          <w:lang w:val="nl-NL"/>
        </w:rPr>
        <w:t>1.</w:t>
      </w:r>
      <w:r w:rsidRPr="00625C00">
        <w:rPr>
          <w:lang w:val="nl-NL"/>
        </w:rPr>
        <w:tab/>
        <w:t xml:space="preserve">(IKNL), D.C.R.N.C.C.C.N., </w:t>
      </w:r>
      <w:r w:rsidRPr="00625C00">
        <w:rPr>
          <w:i/>
          <w:lang w:val="nl-NL"/>
        </w:rPr>
        <w:t>Cijfers over kanker.</w:t>
      </w:r>
      <w:r w:rsidRPr="00625C00">
        <w:rPr>
          <w:lang w:val="nl-NL"/>
        </w:rPr>
        <w:t xml:space="preserve"> </w:t>
      </w:r>
      <w:r w:rsidRPr="00246FD9">
        <w:t>2016.</w:t>
      </w:r>
    </w:p>
    <w:p w14:paraId="563D84D9" w14:textId="77777777" w:rsidR="00246FD9" w:rsidRPr="00246FD9" w:rsidRDefault="00246FD9" w:rsidP="00FC2EE2">
      <w:pPr>
        <w:pStyle w:val="EndNoteBibliography"/>
        <w:ind w:left="720" w:hanging="720"/>
        <w:jc w:val="both"/>
      </w:pPr>
      <w:r w:rsidRPr="00246FD9">
        <w:t>2.</w:t>
      </w:r>
      <w:r w:rsidRPr="00246FD9">
        <w:tab/>
        <w:t xml:space="preserve">(CBS), D.C.B.f.s., </w:t>
      </w:r>
      <w:r w:rsidRPr="00246FD9">
        <w:rPr>
          <w:i/>
        </w:rPr>
        <w:t>Life expectancy of women in the Netherlands.</w:t>
      </w:r>
      <w:r w:rsidRPr="00246FD9">
        <w:t xml:space="preserve"> 2016.</w:t>
      </w:r>
    </w:p>
    <w:p w14:paraId="111E57B2" w14:textId="77777777" w:rsidR="00246FD9" w:rsidRPr="00246FD9" w:rsidRDefault="00246FD9" w:rsidP="00FC2EE2">
      <w:pPr>
        <w:pStyle w:val="EndNoteBibliography"/>
        <w:ind w:left="720" w:hanging="720"/>
        <w:jc w:val="both"/>
      </w:pPr>
      <w:r w:rsidRPr="00246FD9">
        <w:t>3.</w:t>
      </w:r>
      <w:r w:rsidRPr="00246FD9">
        <w:tab/>
        <w:t xml:space="preserve">(CBS), D.C.B.f.S., </w:t>
      </w:r>
      <w:r w:rsidRPr="00246FD9">
        <w:rPr>
          <w:i/>
        </w:rPr>
        <w:t>Consumer Price Index for the Netherlands (CPI).</w:t>
      </w:r>
      <w:r w:rsidRPr="00246FD9">
        <w:t xml:space="preserve"> 2017.</w:t>
      </w:r>
    </w:p>
    <w:p w14:paraId="5416F97E" w14:textId="77777777" w:rsidR="00246FD9" w:rsidRDefault="00246FD9" w:rsidP="00FC2EE2">
      <w:pPr>
        <w:pStyle w:val="EndNoteBibliography"/>
        <w:ind w:left="720" w:hanging="720"/>
        <w:jc w:val="both"/>
      </w:pPr>
      <w:r w:rsidRPr="00246FD9">
        <w:t>4.</w:t>
      </w:r>
      <w:r w:rsidRPr="00246FD9">
        <w:tab/>
        <w:t xml:space="preserve">de Boer, A.G.E.M., et al., </w:t>
      </w:r>
      <w:r w:rsidRPr="00246FD9">
        <w:rPr>
          <w:i/>
        </w:rPr>
        <w:t>Work ability and return-to-work in cancer patients.</w:t>
      </w:r>
      <w:r w:rsidRPr="00246FD9">
        <w:t xml:space="preserve"> British Journal of Cancer, 2008. </w:t>
      </w:r>
      <w:r w:rsidRPr="00246FD9">
        <w:rPr>
          <w:b/>
        </w:rPr>
        <w:t>98</w:t>
      </w:r>
      <w:r w:rsidRPr="00246FD9">
        <w:t>(8): p. 1342-1347.</w:t>
      </w:r>
    </w:p>
    <w:p w14:paraId="106E2899" w14:textId="77777777" w:rsidR="00076C13" w:rsidRDefault="00076C13" w:rsidP="00FC2EE2">
      <w:pPr>
        <w:pStyle w:val="EndNoteBibliography"/>
        <w:ind w:left="720" w:hanging="720"/>
        <w:jc w:val="both"/>
      </w:pPr>
      <w:r>
        <w:t>5.</w:t>
      </w:r>
      <w:r>
        <w:tab/>
      </w:r>
      <w:r w:rsidR="00CC7DB0">
        <w:t>Worl Health Organization (WHO), Health statistics ad information systems; Metrics: Disability-Adjusted Life Year (DALY). retrieved from:</w:t>
      </w:r>
      <w:r w:rsidR="005B017E" w:rsidRPr="005B017E">
        <w:t xml:space="preserve"> http://www.who.int/healthinfo/global_burden_disease/metrics_daly/en/</w:t>
      </w:r>
      <w:r w:rsidR="005B017E">
        <w:t xml:space="preserve"> assesed 13 nov 2017</w:t>
      </w:r>
    </w:p>
    <w:p w14:paraId="07A96CAD" w14:textId="6023C804" w:rsidR="005E6B84" w:rsidRDefault="005E6B84" w:rsidP="00FC2EE2">
      <w:pPr>
        <w:pStyle w:val="EndNoteBibliography"/>
        <w:ind w:left="720" w:hanging="720"/>
        <w:jc w:val="both"/>
      </w:pPr>
      <w:r>
        <w:t>6.</w:t>
      </w:r>
      <w:r>
        <w:tab/>
      </w:r>
      <w:r w:rsidR="00EF4EF8" w:rsidRPr="00EF4EF8">
        <w:t>Stouthard MEA, Essink-Bot ML, Bonsel GJ, et al: Disability Weights for Diseases in The Netherlands. 1997, Rotterdam: Department of Public Health, Erasmus University of Rotterdam</w:t>
      </w:r>
    </w:p>
    <w:p w14:paraId="6D18368B" w14:textId="77777777" w:rsidR="005B017E" w:rsidRPr="00246FD9" w:rsidRDefault="005B017E" w:rsidP="00FC2EE2">
      <w:pPr>
        <w:pStyle w:val="EndNoteBibliography"/>
        <w:ind w:left="720" w:hanging="720"/>
        <w:jc w:val="both"/>
      </w:pPr>
    </w:p>
    <w:p w14:paraId="54F15ED7" w14:textId="3934C283" w:rsidR="007B1210" w:rsidRDefault="00246FD9" w:rsidP="00FC2EE2">
      <w:pPr>
        <w:jc w:val="both"/>
      </w:pPr>
      <w:r>
        <w:fldChar w:fldCharType="end"/>
      </w:r>
      <w:r w:rsidR="00592E78">
        <w:t>7.</w:t>
      </w:r>
      <w:r w:rsidR="00592E78">
        <w:tab/>
        <w:t>EUROCARE-4 study</w:t>
      </w:r>
    </w:p>
    <w:p w14:paraId="74213680" w14:textId="77777777" w:rsidR="00592E78" w:rsidRDefault="00592E78" w:rsidP="00FC2EE2">
      <w:pPr>
        <w:jc w:val="both"/>
      </w:pPr>
    </w:p>
    <w:sectPr w:rsidR="00592E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thelas">
    <w:charset w:val="00"/>
    <w:family w:val="auto"/>
    <w:pitch w:val="variable"/>
    <w:sig w:usb0="A00000AF" w:usb1="5000205B"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f5aar92r2exz1es9da5a0rfsstr5zaf92rs&quot;&gt;BOD manuscript&lt;record-ids&gt;&lt;item&gt;11&lt;/item&gt;&lt;item&gt;16&lt;/item&gt;&lt;item&gt;20&lt;/item&gt;&lt;item&gt;42&lt;/item&gt;&lt;/record-ids&gt;&lt;/item&gt;&lt;/Libraries&gt;"/>
    <w:docVar w:name="Total_Editing_Time" w:val="0"/>
  </w:docVars>
  <w:rsids>
    <w:rsidRoot w:val="005945E7"/>
    <w:rsid w:val="00012356"/>
    <w:rsid w:val="00075C9E"/>
    <w:rsid w:val="00076C13"/>
    <w:rsid w:val="00095391"/>
    <w:rsid w:val="000C5F45"/>
    <w:rsid w:val="000F06E3"/>
    <w:rsid w:val="00114457"/>
    <w:rsid w:val="00131CB4"/>
    <w:rsid w:val="0014169E"/>
    <w:rsid w:val="001E3810"/>
    <w:rsid w:val="002338CA"/>
    <w:rsid w:val="00246FD9"/>
    <w:rsid w:val="00255440"/>
    <w:rsid w:val="00262371"/>
    <w:rsid w:val="002C2465"/>
    <w:rsid w:val="0031472D"/>
    <w:rsid w:val="003160D2"/>
    <w:rsid w:val="00357B6E"/>
    <w:rsid w:val="00365730"/>
    <w:rsid w:val="00373E18"/>
    <w:rsid w:val="00392FEA"/>
    <w:rsid w:val="004643C8"/>
    <w:rsid w:val="004C3A1C"/>
    <w:rsid w:val="004D238B"/>
    <w:rsid w:val="004E2385"/>
    <w:rsid w:val="004F2205"/>
    <w:rsid w:val="005459B3"/>
    <w:rsid w:val="00553425"/>
    <w:rsid w:val="00591D42"/>
    <w:rsid w:val="00592E78"/>
    <w:rsid w:val="005945E7"/>
    <w:rsid w:val="005B017E"/>
    <w:rsid w:val="005C6020"/>
    <w:rsid w:val="005E6B84"/>
    <w:rsid w:val="00625C00"/>
    <w:rsid w:val="006A0B6A"/>
    <w:rsid w:val="006E0240"/>
    <w:rsid w:val="00764BDC"/>
    <w:rsid w:val="00765770"/>
    <w:rsid w:val="00783D02"/>
    <w:rsid w:val="007A58FC"/>
    <w:rsid w:val="007B2CD0"/>
    <w:rsid w:val="007C32F7"/>
    <w:rsid w:val="007C367B"/>
    <w:rsid w:val="007D393C"/>
    <w:rsid w:val="00824A0D"/>
    <w:rsid w:val="00831920"/>
    <w:rsid w:val="008501E9"/>
    <w:rsid w:val="00875738"/>
    <w:rsid w:val="00887880"/>
    <w:rsid w:val="008B6D99"/>
    <w:rsid w:val="008C325C"/>
    <w:rsid w:val="008D2871"/>
    <w:rsid w:val="008E6AF2"/>
    <w:rsid w:val="008F4987"/>
    <w:rsid w:val="00910878"/>
    <w:rsid w:val="00917C93"/>
    <w:rsid w:val="00934170"/>
    <w:rsid w:val="0097631C"/>
    <w:rsid w:val="00981271"/>
    <w:rsid w:val="009979C5"/>
    <w:rsid w:val="009C2CF7"/>
    <w:rsid w:val="009F657E"/>
    <w:rsid w:val="00A11567"/>
    <w:rsid w:val="00A31A06"/>
    <w:rsid w:val="00A542C1"/>
    <w:rsid w:val="00A76C6E"/>
    <w:rsid w:val="00AB30FC"/>
    <w:rsid w:val="00AB35DC"/>
    <w:rsid w:val="00AE70DB"/>
    <w:rsid w:val="00AF37A7"/>
    <w:rsid w:val="00B15A52"/>
    <w:rsid w:val="00B2409C"/>
    <w:rsid w:val="00B3091D"/>
    <w:rsid w:val="00BA1864"/>
    <w:rsid w:val="00BA5D81"/>
    <w:rsid w:val="00BC06E6"/>
    <w:rsid w:val="00BE3133"/>
    <w:rsid w:val="00C4202A"/>
    <w:rsid w:val="00C82AF4"/>
    <w:rsid w:val="00CC133A"/>
    <w:rsid w:val="00CC7DB0"/>
    <w:rsid w:val="00CD2D49"/>
    <w:rsid w:val="00CD6FD2"/>
    <w:rsid w:val="00CE3493"/>
    <w:rsid w:val="00CF7D9B"/>
    <w:rsid w:val="00D42ECB"/>
    <w:rsid w:val="00D470D1"/>
    <w:rsid w:val="00DA164B"/>
    <w:rsid w:val="00E46C59"/>
    <w:rsid w:val="00E47732"/>
    <w:rsid w:val="00EC483A"/>
    <w:rsid w:val="00EF4EF8"/>
    <w:rsid w:val="00F07103"/>
    <w:rsid w:val="00F24E22"/>
    <w:rsid w:val="00F335E7"/>
    <w:rsid w:val="00F67FD6"/>
    <w:rsid w:val="00FC2EE2"/>
    <w:rsid w:val="00FC3637"/>
    <w:rsid w:val="00FD23C2"/>
    <w:rsid w:val="00FE2F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D2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945E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Heading3">
    <w:name w:val="heading 3"/>
    <w:basedOn w:val="Normal"/>
    <w:link w:val="Heading3Char"/>
    <w:uiPriority w:val="9"/>
    <w:qFormat/>
    <w:rsid w:val="008B6D9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eastAsiaTheme="minorHAnsi"/>
      <w:b/>
      <w:bCs/>
      <w:sz w:val="27"/>
      <w:szCs w:val="27"/>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rsid w:val="005945E7"/>
    <w:pPr>
      <w:pBdr>
        <w:top w:val="nil"/>
        <w:left w:val="nil"/>
        <w:bottom w:val="nil"/>
        <w:right w:val="nil"/>
        <w:between w:val="nil"/>
        <w:bar w:val="nil"/>
      </w:pBdr>
      <w:spacing w:after="0" w:line="240" w:lineRule="auto"/>
    </w:pPr>
    <w:rPr>
      <w:rFonts w:ascii="Calibri" w:eastAsia="Arial Unicode MS" w:hAnsi="Calibri" w:cs="Arial Unicode MS"/>
      <w:color w:val="000000"/>
      <w:sz w:val="24"/>
      <w:szCs w:val="24"/>
      <w:u w:color="000000"/>
      <w:bdr w:val="nil"/>
      <w:lang w:val="en-US"/>
    </w:rPr>
  </w:style>
  <w:style w:type="paragraph" w:customStyle="1" w:styleId="Default">
    <w:name w:val="Default"/>
    <w:link w:val="DefaultChar"/>
    <w:rsid w:val="005945E7"/>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styleId="Caption">
    <w:name w:val="caption"/>
    <w:next w:val="Body"/>
    <w:rsid w:val="005945E7"/>
    <w:pPr>
      <w:pBdr>
        <w:top w:val="nil"/>
        <w:left w:val="nil"/>
        <w:bottom w:val="nil"/>
        <w:right w:val="nil"/>
        <w:between w:val="nil"/>
        <w:bar w:val="nil"/>
      </w:pBdr>
      <w:spacing w:line="240" w:lineRule="auto"/>
    </w:pPr>
    <w:rPr>
      <w:rFonts w:ascii="Helvetica" w:eastAsia="Arial Unicode MS" w:hAnsi="Helvetica" w:cs="Arial Unicode MS"/>
      <w:i/>
      <w:iCs/>
      <w:color w:val="44546A"/>
      <w:sz w:val="18"/>
      <w:szCs w:val="18"/>
      <w:u w:color="44546A"/>
      <w:bdr w:val="nil"/>
      <w:lang w:val="en-US"/>
    </w:rPr>
  </w:style>
  <w:style w:type="character" w:customStyle="1" w:styleId="BodyChar">
    <w:name w:val="Body Char"/>
    <w:basedOn w:val="DefaultParagraphFont"/>
    <w:link w:val="Body"/>
    <w:rsid w:val="005945E7"/>
    <w:rPr>
      <w:rFonts w:ascii="Calibri" w:eastAsia="Arial Unicode MS" w:hAnsi="Calibri" w:cs="Arial Unicode MS"/>
      <w:color w:val="000000"/>
      <w:sz w:val="24"/>
      <w:szCs w:val="24"/>
      <w:u w:color="000000"/>
      <w:bdr w:val="nil"/>
      <w:lang w:val="en-US"/>
    </w:rPr>
  </w:style>
  <w:style w:type="paragraph" w:styleId="BalloonText">
    <w:name w:val="Balloon Text"/>
    <w:basedOn w:val="Normal"/>
    <w:link w:val="BalloonTextChar"/>
    <w:uiPriority w:val="99"/>
    <w:semiHidden/>
    <w:unhideWhenUsed/>
    <w:rsid w:val="005945E7"/>
    <w:rPr>
      <w:rFonts w:ascii="Tahoma" w:hAnsi="Tahoma" w:cs="Tahoma"/>
      <w:sz w:val="16"/>
      <w:szCs w:val="16"/>
    </w:rPr>
  </w:style>
  <w:style w:type="character" w:customStyle="1" w:styleId="BalloonTextChar">
    <w:name w:val="Balloon Text Char"/>
    <w:basedOn w:val="DefaultParagraphFont"/>
    <w:link w:val="BalloonText"/>
    <w:uiPriority w:val="99"/>
    <w:semiHidden/>
    <w:rsid w:val="005945E7"/>
    <w:rPr>
      <w:rFonts w:ascii="Tahoma" w:eastAsia="Arial Unicode MS" w:hAnsi="Tahoma" w:cs="Tahoma"/>
      <w:sz w:val="16"/>
      <w:szCs w:val="16"/>
      <w:bdr w:val="nil"/>
      <w:lang w:val="en-US"/>
    </w:rPr>
  </w:style>
  <w:style w:type="paragraph" w:customStyle="1" w:styleId="EndNoteBibliographyTitle">
    <w:name w:val="EndNote Bibliography Title"/>
    <w:basedOn w:val="Normal"/>
    <w:link w:val="EndNoteBibliographyTitleChar"/>
    <w:rsid w:val="00246FD9"/>
    <w:pPr>
      <w:jc w:val="center"/>
    </w:pPr>
    <w:rPr>
      <w:noProof/>
    </w:rPr>
  </w:style>
  <w:style w:type="character" w:customStyle="1" w:styleId="DefaultChar">
    <w:name w:val="Default Char"/>
    <w:basedOn w:val="DefaultParagraphFont"/>
    <w:link w:val="Default"/>
    <w:rsid w:val="00246FD9"/>
    <w:rPr>
      <w:rFonts w:ascii="Helvetica" w:eastAsia="Arial Unicode MS" w:hAnsi="Helvetica" w:cs="Arial Unicode MS"/>
      <w:color w:val="000000"/>
      <w:bdr w:val="nil"/>
      <w:lang w:val="en-US"/>
    </w:rPr>
  </w:style>
  <w:style w:type="character" w:customStyle="1" w:styleId="EndNoteBibliographyTitleChar">
    <w:name w:val="EndNote Bibliography Title Char"/>
    <w:basedOn w:val="DefaultChar"/>
    <w:link w:val="EndNoteBibliographyTitle"/>
    <w:rsid w:val="00246FD9"/>
    <w:rPr>
      <w:rFonts w:ascii="Times New Roman" w:eastAsia="Arial Unicode MS" w:hAnsi="Times New Roman" w:cs="Times New Roman"/>
      <w:noProof/>
      <w:color w:val="000000"/>
      <w:sz w:val="24"/>
      <w:szCs w:val="24"/>
      <w:bdr w:val="nil"/>
      <w:lang w:val="en-US"/>
    </w:rPr>
  </w:style>
  <w:style w:type="paragraph" w:customStyle="1" w:styleId="EndNoteBibliography">
    <w:name w:val="EndNote Bibliography"/>
    <w:basedOn w:val="Normal"/>
    <w:link w:val="EndNoteBibliographyChar"/>
    <w:rsid w:val="00246FD9"/>
    <w:rPr>
      <w:noProof/>
    </w:rPr>
  </w:style>
  <w:style w:type="character" w:customStyle="1" w:styleId="EndNoteBibliographyChar">
    <w:name w:val="EndNote Bibliography Char"/>
    <w:basedOn w:val="DefaultChar"/>
    <w:link w:val="EndNoteBibliography"/>
    <w:rsid w:val="00246FD9"/>
    <w:rPr>
      <w:rFonts w:ascii="Times New Roman" w:eastAsia="Arial Unicode MS" w:hAnsi="Times New Roman" w:cs="Times New Roman"/>
      <w:noProof/>
      <w:color w:val="000000"/>
      <w:sz w:val="24"/>
      <w:szCs w:val="24"/>
      <w:bdr w:val="nil"/>
      <w:lang w:val="en-US"/>
    </w:rPr>
  </w:style>
  <w:style w:type="character" w:styleId="PlaceholderText">
    <w:name w:val="Placeholder Text"/>
    <w:basedOn w:val="DefaultParagraphFont"/>
    <w:uiPriority w:val="99"/>
    <w:semiHidden/>
    <w:rsid w:val="00765770"/>
    <w:rPr>
      <w:color w:val="808080"/>
    </w:rPr>
  </w:style>
  <w:style w:type="paragraph" w:customStyle="1" w:styleId="p">
    <w:name w:val="p"/>
    <w:basedOn w:val="Normal"/>
    <w:rsid w:val="008B6D9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rPr>
  </w:style>
  <w:style w:type="character" w:styleId="Hyperlink">
    <w:name w:val="Hyperlink"/>
    <w:basedOn w:val="DefaultParagraphFont"/>
    <w:uiPriority w:val="99"/>
    <w:semiHidden/>
    <w:unhideWhenUsed/>
    <w:rsid w:val="008B6D99"/>
    <w:rPr>
      <w:color w:val="0000FF"/>
      <w:u w:val="single"/>
    </w:rPr>
  </w:style>
  <w:style w:type="character" w:customStyle="1" w:styleId="Heading3Char">
    <w:name w:val="Heading 3 Char"/>
    <w:basedOn w:val="DefaultParagraphFont"/>
    <w:link w:val="Heading3"/>
    <w:uiPriority w:val="9"/>
    <w:rsid w:val="008B6D99"/>
    <w:rPr>
      <w:rFonts w:ascii="Times New Roman" w:hAnsi="Times New Roman" w:cs="Times New Roman"/>
      <w:b/>
      <w:bCs/>
      <w:sz w:val="27"/>
      <w:szCs w:val="27"/>
      <w:lang w:val="en-US"/>
    </w:rPr>
  </w:style>
  <w:style w:type="paragraph" w:styleId="NormalWeb">
    <w:name w:val="Normal (Web)"/>
    <w:basedOn w:val="Normal"/>
    <w:uiPriority w:val="99"/>
    <w:semiHidden/>
    <w:unhideWhenUsed/>
    <w:rsid w:val="008B6D9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rPr>
  </w:style>
  <w:style w:type="character" w:customStyle="1" w:styleId="mi">
    <w:name w:val="mi"/>
    <w:basedOn w:val="DefaultParagraphFont"/>
    <w:rsid w:val="008B6D99"/>
  </w:style>
  <w:style w:type="character" w:customStyle="1" w:styleId="mo">
    <w:name w:val="mo"/>
    <w:basedOn w:val="DefaultParagraphFont"/>
    <w:rsid w:val="008B6D99"/>
  </w:style>
  <w:style w:type="character" w:customStyle="1" w:styleId="mn">
    <w:name w:val="mn"/>
    <w:basedOn w:val="DefaultParagraphFont"/>
    <w:rsid w:val="008B6D99"/>
  </w:style>
  <w:style w:type="character" w:customStyle="1" w:styleId="apple-converted-space">
    <w:name w:val="apple-converted-space"/>
    <w:basedOn w:val="DefaultParagraphFont"/>
    <w:rsid w:val="008B6D99"/>
  </w:style>
  <w:style w:type="character" w:styleId="CommentReference">
    <w:name w:val="annotation reference"/>
    <w:basedOn w:val="DefaultParagraphFont"/>
    <w:uiPriority w:val="99"/>
    <w:semiHidden/>
    <w:unhideWhenUsed/>
    <w:rsid w:val="00625C00"/>
    <w:rPr>
      <w:sz w:val="16"/>
      <w:szCs w:val="16"/>
    </w:rPr>
  </w:style>
  <w:style w:type="paragraph" w:styleId="CommentText">
    <w:name w:val="annotation text"/>
    <w:basedOn w:val="Normal"/>
    <w:link w:val="CommentTextChar"/>
    <w:uiPriority w:val="99"/>
    <w:semiHidden/>
    <w:unhideWhenUsed/>
    <w:rsid w:val="00625C00"/>
    <w:rPr>
      <w:sz w:val="20"/>
      <w:szCs w:val="20"/>
    </w:rPr>
  </w:style>
  <w:style w:type="character" w:customStyle="1" w:styleId="CommentTextChar">
    <w:name w:val="Comment Text Char"/>
    <w:basedOn w:val="DefaultParagraphFont"/>
    <w:link w:val="CommentText"/>
    <w:uiPriority w:val="99"/>
    <w:semiHidden/>
    <w:rsid w:val="00625C00"/>
    <w:rPr>
      <w:rFonts w:ascii="Times New Roman" w:eastAsia="Arial Unicode MS" w:hAnsi="Times New Roman" w:cs="Times New Roman"/>
      <w:sz w:val="20"/>
      <w:szCs w:val="20"/>
      <w:bdr w:val="nil"/>
      <w:lang w:val="en-US"/>
    </w:rPr>
  </w:style>
  <w:style w:type="paragraph" w:styleId="CommentSubject">
    <w:name w:val="annotation subject"/>
    <w:basedOn w:val="CommentText"/>
    <w:next w:val="CommentText"/>
    <w:link w:val="CommentSubjectChar"/>
    <w:uiPriority w:val="99"/>
    <w:semiHidden/>
    <w:unhideWhenUsed/>
    <w:rsid w:val="00625C00"/>
    <w:rPr>
      <w:b/>
      <w:bCs/>
    </w:rPr>
  </w:style>
  <w:style w:type="character" w:customStyle="1" w:styleId="CommentSubjectChar">
    <w:name w:val="Comment Subject Char"/>
    <w:basedOn w:val="CommentTextChar"/>
    <w:link w:val="CommentSubject"/>
    <w:uiPriority w:val="99"/>
    <w:semiHidden/>
    <w:rsid w:val="00625C00"/>
    <w:rPr>
      <w:rFonts w:ascii="Times New Roman" w:eastAsia="Arial Unicode MS" w:hAnsi="Times New Roman" w:cs="Times New Roman"/>
      <w:b/>
      <w:bCs/>
      <w:sz w:val="20"/>
      <w:szCs w:val="20"/>
      <w:bdr w:val="ni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945E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Heading3">
    <w:name w:val="heading 3"/>
    <w:basedOn w:val="Normal"/>
    <w:link w:val="Heading3Char"/>
    <w:uiPriority w:val="9"/>
    <w:qFormat/>
    <w:rsid w:val="008B6D9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eastAsiaTheme="minorHAnsi"/>
      <w:b/>
      <w:bCs/>
      <w:sz w:val="27"/>
      <w:szCs w:val="27"/>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rsid w:val="005945E7"/>
    <w:pPr>
      <w:pBdr>
        <w:top w:val="nil"/>
        <w:left w:val="nil"/>
        <w:bottom w:val="nil"/>
        <w:right w:val="nil"/>
        <w:between w:val="nil"/>
        <w:bar w:val="nil"/>
      </w:pBdr>
      <w:spacing w:after="0" w:line="240" w:lineRule="auto"/>
    </w:pPr>
    <w:rPr>
      <w:rFonts w:ascii="Calibri" w:eastAsia="Arial Unicode MS" w:hAnsi="Calibri" w:cs="Arial Unicode MS"/>
      <w:color w:val="000000"/>
      <w:sz w:val="24"/>
      <w:szCs w:val="24"/>
      <w:u w:color="000000"/>
      <w:bdr w:val="nil"/>
      <w:lang w:val="en-US"/>
    </w:rPr>
  </w:style>
  <w:style w:type="paragraph" w:customStyle="1" w:styleId="Default">
    <w:name w:val="Default"/>
    <w:link w:val="DefaultChar"/>
    <w:rsid w:val="005945E7"/>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styleId="Caption">
    <w:name w:val="caption"/>
    <w:next w:val="Body"/>
    <w:rsid w:val="005945E7"/>
    <w:pPr>
      <w:pBdr>
        <w:top w:val="nil"/>
        <w:left w:val="nil"/>
        <w:bottom w:val="nil"/>
        <w:right w:val="nil"/>
        <w:between w:val="nil"/>
        <w:bar w:val="nil"/>
      </w:pBdr>
      <w:spacing w:line="240" w:lineRule="auto"/>
    </w:pPr>
    <w:rPr>
      <w:rFonts w:ascii="Helvetica" w:eastAsia="Arial Unicode MS" w:hAnsi="Helvetica" w:cs="Arial Unicode MS"/>
      <w:i/>
      <w:iCs/>
      <w:color w:val="44546A"/>
      <w:sz w:val="18"/>
      <w:szCs w:val="18"/>
      <w:u w:color="44546A"/>
      <w:bdr w:val="nil"/>
      <w:lang w:val="en-US"/>
    </w:rPr>
  </w:style>
  <w:style w:type="character" w:customStyle="1" w:styleId="BodyChar">
    <w:name w:val="Body Char"/>
    <w:basedOn w:val="DefaultParagraphFont"/>
    <w:link w:val="Body"/>
    <w:rsid w:val="005945E7"/>
    <w:rPr>
      <w:rFonts w:ascii="Calibri" w:eastAsia="Arial Unicode MS" w:hAnsi="Calibri" w:cs="Arial Unicode MS"/>
      <w:color w:val="000000"/>
      <w:sz w:val="24"/>
      <w:szCs w:val="24"/>
      <w:u w:color="000000"/>
      <w:bdr w:val="nil"/>
      <w:lang w:val="en-US"/>
    </w:rPr>
  </w:style>
  <w:style w:type="paragraph" w:styleId="BalloonText">
    <w:name w:val="Balloon Text"/>
    <w:basedOn w:val="Normal"/>
    <w:link w:val="BalloonTextChar"/>
    <w:uiPriority w:val="99"/>
    <w:semiHidden/>
    <w:unhideWhenUsed/>
    <w:rsid w:val="005945E7"/>
    <w:rPr>
      <w:rFonts w:ascii="Tahoma" w:hAnsi="Tahoma" w:cs="Tahoma"/>
      <w:sz w:val="16"/>
      <w:szCs w:val="16"/>
    </w:rPr>
  </w:style>
  <w:style w:type="character" w:customStyle="1" w:styleId="BalloonTextChar">
    <w:name w:val="Balloon Text Char"/>
    <w:basedOn w:val="DefaultParagraphFont"/>
    <w:link w:val="BalloonText"/>
    <w:uiPriority w:val="99"/>
    <w:semiHidden/>
    <w:rsid w:val="005945E7"/>
    <w:rPr>
      <w:rFonts w:ascii="Tahoma" w:eastAsia="Arial Unicode MS" w:hAnsi="Tahoma" w:cs="Tahoma"/>
      <w:sz w:val="16"/>
      <w:szCs w:val="16"/>
      <w:bdr w:val="nil"/>
      <w:lang w:val="en-US"/>
    </w:rPr>
  </w:style>
  <w:style w:type="paragraph" w:customStyle="1" w:styleId="EndNoteBibliographyTitle">
    <w:name w:val="EndNote Bibliography Title"/>
    <w:basedOn w:val="Normal"/>
    <w:link w:val="EndNoteBibliographyTitleChar"/>
    <w:rsid w:val="00246FD9"/>
    <w:pPr>
      <w:jc w:val="center"/>
    </w:pPr>
    <w:rPr>
      <w:noProof/>
    </w:rPr>
  </w:style>
  <w:style w:type="character" w:customStyle="1" w:styleId="DefaultChar">
    <w:name w:val="Default Char"/>
    <w:basedOn w:val="DefaultParagraphFont"/>
    <w:link w:val="Default"/>
    <w:rsid w:val="00246FD9"/>
    <w:rPr>
      <w:rFonts w:ascii="Helvetica" w:eastAsia="Arial Unicode MS" w:hAnsi="Helvetica" w:cs="Arial Unicode MS"/>
      <w:color w:val="000000"/>
      <w:bdr w:val="nil"/>
      <w:lang w:val="en-US"/>
    </w:rPr>
  </w:style>
  <w:style w:type="character" w:customStyle="1" w:styleId="EndNoteBibliographyTitleChar">
    <w:name w:val="EndNote Bibliography Title Char"/>
    <w:basedOn w:val="DefaultChar"/>
    <w:link w:val="EndNoteBibliographyTitle"/>
    <w:rsid w:val="00246FD9"/>
    <w:rPr>
      <w:rFonts w:ascii="Times New Roman" w:eastAsia="Arial Unicode MS" w:hAnsi="Times New Roman" w:cs="Times New Roman"/>
      <w:noProof/>
      <w:color w:val="000000"/>
      <w:sz w:val="24"/>
      <w:szCs w:val="24"/>
      <w:bdr w:val="nil"/>
      <w:lang w:val="en-US"/>
    </w:rPr>
  </w:style>
  <w:style w:type="paragraph" w:customStyle="1" w:styleId="EndNoteBibliography">
    <w:name w:val="EndNote Bibliography"/>
    <w:basedOn w:val="Normal"/>
    <w:link w:val="EndNoteBibliographyChar"/>
    <w:rsid w:val="00246FD9"/>
    <w:rPr>
      <w:noProof/>
    </w:rPr>
  </w:style>
  <w:style w:type="character" w:customStyle="1" w:styleId="EndNoteBibliographyChar">
    <w:name w:val="EndNote Bibliography Char"/>
    <w:basedOn w:val="DefaultChar"/>
    <w:link w:val="EndNoteBibliography"/>
    <w:rsid w:val="00246FD9"/>
    <w:rPr>
      <w:rFonts w:ascii="Times New Roman" w:eastAsia="Arial Unicode MS" w:hAnsi="Times New Roman" w:cs="Times New Roman"/>
      <w:noProof/>
      <w:color w:val="000000"/>
      <w:sz w:val="24"/>
      <w:szCs w:val="24"/>
      <w:bdr w:val="nil"/>
      <w:lang w:val="en-US"/>
    </w:rPr>
  </w:style>
  <w:style w:type="character" w:styleId="PlaceholderText">
    <w:name w:val="Placeholder Text"/>
    <w:basedOn w:val="DefaultParagraphFont"/>
    <w:uiPriority w:val="99"/>
    <w:semiHidden/>
    <w:rsid w:val="00765770"/>
    <w:rPr>
      <w:color w:val="808080"/>
    </w:rPr>
  </w:style>
  <w:style w:type="paragraph" w:customStyle="1" w:styleId="p">
    <w:name w:val="p"/>
    <w:basedOn w:val="Normal"/>
    <w:rsid w:val="008B6D9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rPr>
  </w:style>
  <w:style w:type="character" w:styleId="Hyperlink">
    <w:name w:val="Hyperlink"/>
    <w:basedOn w:val="DefaultParagraphFont"/>
    <w:uiPriority w:val="99"/>
    <w:semiHidden/>
    <w:unhideWhenUsed/>
    <w:rsid w:val="008B6D99"/>
    <w:rPr>
      <w:color w:val="0000FF"/>
      <w:u w:val="single"/>
    </w:rPr>
  </w:style>
  <w:style w:type="character" w:customStyle="1" w:styleId="Heading3Char">
    <w:name w:val="Heading 3 Char"/>
    <w:basedOn w:val="DefaultParagraphFont"/>
    <w:link w:val="Heading3"/>
    <w:uiPriority w:val="9"/>
    <w:rsid w:val="008B6D99"/>
    <w:rPr>
      <w:rFonts w:ascii="Times New Roman" w:hAnsi="Times New Roman" w:cs="Times New Roman"/>
      <w:b/>
      <w:bCs/>
      <w:sz w:val="27"/>
      <w:szCs w:val="27"/>
      <w:lang w:val="en-US"/>
    </w:rPr>
  </w:style>
  <w:style w:type="paragraph" w:styleId="NormalWeb">
    <w:name w:val="Normal (Web)"/>
    <w:basedOn w:val="Normal"/>
    <w:uiPriority w:val="99"/>
    <w:semiHidden/>
    <w:unhideWhenUsed/>
    <w:rsid w:val="008B6D9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rPr>
  </w:style>
  <w:style w:type="character" w:customStyle="1" w:styleId="mi">
    <w:name w:val="mi"/>
    <w:basedOn w:val="DefaultParagraphFont"/>
    <w:rsid w:val="008B6D99"/>
  </w:style>
  <w:style w:type="character" w:customStyle="1" w:styleId="mo">
    <w:name w:val="mo"/>
    <w:basedOn w:val="DefaultParagraphFont"/>
    <w:rsid w:val="008B6D99"/>
  </w:style>
  <w:style w:type="character" w:customStyle="1" w:styleId="mn">
    <w:name w:val="mn"/>
    <w:basedOn w:val="DefaultParagraphFont"/>
    <w:rsid w:val="008B6D99"/>
  </w:style>
  <w:style w:type="character" w:customStyle="1" w:styleId="apple-converted-space">
    <w:name w:val="apple-converted-space"/>
    <w:basedOn w:val="DefaultParagraphFont"/>
    <w:rsid w:val="008B6D99"/>
  </w:style>
  <w:style w:type="character" w:styleId="CommentReference">
    <w:name w:val="annotation reference"/>
    <w:basedOn w:val="DefaultParagraphFont"/>
    <w:uiPriority w:val="99"/>
    <w:semiHidden/>
    <w:unhideWhenUsed/>
    <w:rsid w:val="00625C00"/>
    <w:rPr>
      <w:sz w:val="16"/>
      <w:szCs w:val="16"/>
    </w:rPr>
  </w:style>
  <w:style w:type="paragraph" w:styleId="CommentText">
    <w:name w:val="annotation text"/>
    <w:basedOn w:val="Normal"/>
    <w:link w:val="CommentTextChar"/>
    <w:uiPriority w:val="99"/>
    <w:semiHidden/>
    <w:unhideWhenUsed/>
    <w:rsid w:val="00625C00"/>
    <w:rPr>
      <w:sz w:val="20"/>
      <w:szCs w:val="20"/>
    </w:rPr>
  </w:style>
  <w:style w:type="character" w:customStyle="1" w:styleId="CommentTextChar">
    <w:name w:val="Comment Text Char"/>
    <w:basedOn w:val="DefaultParagraphFont"/>
    <w:link w:val="CommentText"/>
    <w:uiPriority w:val="99"/>
    <w:semiHidden/>
    <w:rsid w:val="00625C00"/>
    <w:rPr>
      <w:rFonts w:ascii="Times New Roman" w:eastAsia="Arial Unicode MS" w:hAnsi="Times New Roman" w:cs="Times New Roman"/>
      <w:sz w:val="20"/>
      <w:szCs w:val="20"/>
      <w:bdr w:val="nil"/>
      <w:lang w:val="en-US"/>
    </w:rPr>
  </w:style>
  <w:style w:type="paragraph" w:styleId="CommentSubject">
    <w:name w:val="annotation subject"/>
    <w:basedOn w:val="CommentText"/>
    <w:next w:val="CommentText"/>
    <w:link w:val="CommentSubjectChar"/>
    <w:uiPriority w:val="99"/>
    <w:semiHidden/>
    <w:unhideWhenUsed/>
    <w:rsid w:val="00625C00"/>
    <w:rPr>
      <w:b/>
      <w:bCs/>
    </w:rPr>
  </w:style>
  <w:style w:type="character" w:customStyle="1" w:styleId="CommentSubjectChar">
    <w:name w:val="Comment Subject Char"/>
    <w:basedOn w:val="CommentTextChar"/>
    <w:link w:val="CommentSubject"/>
    <w:uiPriority w:val="99"/>
    <w:semiHidden/>
    <w:rsid w:val="00625C00"/>
    <w:rPr>
      <w:rFonts w:ascii="Times New Roman" w:eastAsia="Arial Unicode MS" w:hAnsi="Times New Roman" w:cs="Times New Roman"/>
      <w:b/>
      <w:bCs/>
      <w:sz w:val="20"/>
      <w:szCs w:val="2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447953">
      <w:bodyDiv w:val="1"/>
      <w:marLeft w:val="0"/>
      <w:marRight w:val="0"/>
      <w:marTop w:val="0"/>
      <w:marBottom w:val="0"/>
      <w:divBdr>
        <w:top w:val="none" w:sz="0" w:space="0" w:color="auto"/>
        <w:left w:val="none" w:sz="0" w:space="0" w:color="auto"/>
        <w:bottom w:val="none" w:sz="0" w:space="0" w:color="auto"/>
        <w:right w:val="none" w:sz="0" w:space="0" w:color="auto"/>
      </w:divBdr>
    </w:div>
    <w:div w:id="874270071">
      <w:bodyDiv w:val="1"/>
      <w:marLeft w:val="0"/>
      <w:marRight w:val="0"/>
      <w:marTop w:val="0"/>
      <w:marBottom w:val="0"/>
      <w:divBdr>
        <w:top w:val="none" w:sz="0" w:space="0" w:color="auto"/>
        <w:left w:val="none" w:sz="0" w:space="0" w:color="auto"/>
        <w:bottom w:val="none" w:sz="0" w:space="0" w:color="auto"/>
        <w:right w:val="none" w:sz="0" w:space="0" w:color="auto"/>
      </w:divBdr>
    </w:div>
    <w:div w:id="1304313083">
      <w:bodyDiv w:val="1"/>
      <w:marLeft w:val="0"/>
      <w:marRight w:val="0"/>
      <w:marTop w:val="0"/>
      <w:marBottom w:val="0"/>
      <w:divBdr>
        <w:top w:val="none" w:sz="0" w:space="0" w:color="auto"/>
        <w:left w:val="none" w:sz="0" w:space="0" w:color="auto"/>
        <w:bottom w:val="none" w:sz="0" w:space="0" w:color="auto"/>
        <w:right w:val="none" w:sz="0" w:space="0" w:color="auto"/>
      </w:divBdr>
      <w:divsChild>
        <w:div w:id="113864353">
          <w:marLeft w:val="0"/>
          <w:marRight w:val="0"/>
          <w:marTop w:val="332"/>
          <w:marBottom w:val="332"/>
          <w:divBdr>
            <w:top w:val="none" w:sz="0" w:space="0" w:color="auto"/>
            <w:left w:val="none" w:sz="0" w:space="0" w:color="auto"/>
            <w:bottom w:val="none" w:sz="0" w:space="0" w:color="auto"/>
            <w:right w:val="none" w:sz="0" w:space="0" w:color="auto"/>
          </w:divBdr>
          <w:divsChild>
            <w:div w:id="983582478">
              <w:marLeft w:val="0"/>
              <w:marRight w:val="0"/>
              <w:marTop w:val="240"/>
              <w:marBottom w:val="240"/>
              <w:divBdr>
                <w:top w:val="none" w:sz="0" w:space="0" w:color="auto"/>
                <w:left w:val="none" w:sz="0" w:space="0" w:color="auto"/>
                <w:bottom w:val="none" w:sz="0" w:space="0" w:color="auto"/>
                <w:right w:val="none" w:sz="0" w:space="0" w:color="auto"/>
              </w:divBdr>
            </w:div>
          </w:divsChild>
        </w:div>
        <w:div w:id="632753005">
          <w:marLeft w:val="0"/>
          <w:marRight w:val="0"/>
          <w:marTop w:val="332"/>
          <w:marBottom w:val="332"/>
          <w:divBdr>
            <w:top w:val="none" w:sz="0" w:space="0" w:color="auto"/>
            <w:left w:val="none" w:sz="0" w:space="0" w:color="auto"/>
            <w:bottom w:val="none" w:sz="0" w:space="0" w:color="auto"/>
            <w:right w:val="none" w:sz="0" w:space="0" w:color="auto"/>
          </w:divBdr>
          <w:divsChild>
            <w:div w:id="95591060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2659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A98ED96-1D39-4F90-A8BB-468295423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1782</Words>
  <Characters>9343</Characters>
  <Application>Microsoft Office Word</Application>
  <DocSecurity>0</DocSecurity>
  <Lines>274</Lines>
  <Paragraphs>146</Paragraphs>
  <ScaleCrop>false</ScaleCrop>
  <HeadingPairs>
    <vt:vector size="2" baseType="variant">
      <vt:variant>
        <vt:lpstr>Title</vt:lpstr>
      </vt:variant>
      <vt:variant>
        <vt:i4>1</vt:i4>
      </vt:variant>
    </vt:vector>
  </HeadingPairs>
  <TitlesOfParts>
    <vt:vector size="1" baseType="lpstr">
      <vt:lpstr/>
    </vt:vector>
  </TitlesOfParts>
  <Company>Pfizer Inc</Company>
  <LinksUpToDate>false</LinksUpToDate>
  <CharactersWithSpaces>10979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Vondeling, Gert</dc:creator>
  <cp:lastModifiedBy>JFURTON</cp:lastModifiedBy>
  <cp:revision>6</cp:revision>
  <dcterms:created xsi:type="dcterms:W3CDTF">2017-12-03T21:52:00Z</dcterms:created>
  <dcterms:modified xsi:type="dcterms:W3CDTF">2018-02-24T12:02:00Z</dcterms:modified>
</cp:coreProperties>
</file>