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D94" w:rsidRPr="00E508D2" w:rsidRDefault="007611F4" w:rsidP="00E508D2">
      <w:pPr>
        <w:jc w:val="both"/>
        <w:rPr>
          <w:rFonts w:ascii="Arial" w:hAnsi="Arial" w:cs="Arial"/>
        </w:rPr>
      </w:pPr>
      <w:r w:rsidRPr="00545BBB">
        <w:rPr>
          <w:rFonts w:ascii="Arial" w:hAnsi="Arial" w:cs="Arial"/>
          <w:b/>
        </w:rPr>
        <w:t xml:space="preserve">Table </w:t>
      </w:r>
      <w:r w:rsidR="00664ED6">
        <w:rPr>
          <w:rFonts w:ascii="Arial" w:hAnsi="Arial" w:cs="Arial"/>
          <w:b/>
        </w:rPr>
        <w:t>S6</w:t>
      </w:r>
      <w:bookmarkStart w:id="0" w:name="_GoBack"/>
      <w:bookmarkEnd w:id="0"/>
      <w:r>
        <w:rPr>
          <w:rFonts w:ascii="Arial" w:hAnsi="Arial" w:cs="Arial"/>
          <w:b/>
        </w:rPr>
        <w:t xml:space="preserve"> </w:t>
      </w:r>
      <w:r w:rsidR="00051D94">
        <w:rPr>
          <w:rFonts w:ascii="Arial" w:hAnsi="Arial" w:cs="Arial"/>
          <w:b/>
        </w:rPr>
        <w:t xml:space="preserve">Results from </w:t>
      </w:r>
      <w:r w:rsidR="00E508D2" w:rsidRPr="00E508D2">
        <w:rPr>
          <w:rFonts w:ascii="Arial" w:hAnsi="Arial" w:cs="Arial"/>
          <w:b/>
        </w:rPr>
        <w:t>Ingenuity Pathway Analysis Suite Analysis of Biomarker data.</w:t>
      </w:r>
      <w:r w:rsidR="00E508D2">
        <w:rPr>
          <w:rFonts w:ascii="Arial" w:hAnsi="Arial" w:cs="Arial"/>
        </w:rPr>
        <w:t xml:space="preserve"> The IPA Suite (Spring 2017 release - build 439932M; Qiagen In</w:t>
      </w:r>
      <w:r w:rsidR="00E508D2" w:rsidRPr="00E508D2">
        <w:rPr>
          <w:rFonts w:ascii="Arial" w:hAnsi="Arial" w:cs="Arial"/>
        </w:rPr>
        <w:t>c., Germantown, MD) was used to identify the ‘Top Canonical Pathways’ for biomarkers found to be significant and listed in</w:t>
      </w:r>
      <w:r w:rsidR="00E508D2">
        <w:rPr>
          <w:rFonts w:ascii="Arial" w:hAnsi="Arial" w:cs="Arial"/>
          <w:b/>
        </w:rPr>
        <w:t xml:space="preserve"> Table III. </w:t>
      </w:r>
      <w:r w:rsidR="00E508D2" w:rsidRPr="00E508D2">
        <w:rPr>
          <w:rFonts w:ascii="Arial" w:hAnsi="Arial" w:cs="Arial"/>
        </w:rPr>
        <w:t>All biomarkers were considered and the software set to consider only molecules and/or relationships where species = Human AND confidence = High (Predicted) or Experimentally Observed.</w:t>
      </w:r>
      <w:r w:rsidR="00E508D2">
        <w:rPr>
          <w:rFonts w:ascii="Arial" w:hAnsi="Arial" w:cs="Arial"/>
        </w:rPr>
        <w:t xml:space="preserve"> Only pathways with p≤0.001 are shown and biomarker data was uncorrected for multiple comparisons.</w:t>
      </w:r>
    </w:p>
    <w:tbl>
      <w:tblPr>
        <w:tblW w:w="141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757"/>
        <w:gridCol w:w="1150"/>
        <w:gridCol w:w="978"/>
        <w:gridCol w:w="5312"/>
      </w:tblGrid>
      <w:tr w:rsidR="007D6E03" w:rsidRPr="007D6E03" w:rsidTr="0071504E">
        <w:trPr>
          <w:trHeight w:val="255"/>
        </w:trPr>
        <w:tc>
          <w:tcPr>
            <w:tcW w:w="6757" w:type="dxa"/>
            <w:shd w:val="clear" w:color="auto" w:fill="auto"/>
            <w:noWrap/>
            <w:vAlign w:val="center"/>
            <w:hideMark/>
          </w:tcPr>
          <w:p w:rsidR="007D6E03" w:rsidRPr="007D6E03" w:rsidRDefault="007D6E03" w:rsidP="00785D78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7D6E03">
              <w:rPr>
                <w:rFonts w:ascii="Arial" w:eastAsia="Times New Roman" w:hAnsi="Arial" w:cs="Arial"/>
                <w:b/>
                <w:bCs/>
              </w:rPr>
              <w:t>Ingenuity Canonical Pathways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7D6E03" w:rsidRPr="007D6E03" w:rsidRDefault="007D6E03" w:rsidP="00785D78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7D6E03">
              <w:rPr>
                <w:rFonts w:ascii="Arial" w:eastAsia="Times New Roman" w:hAnsi="Arial" w:cs="Arial"/>
                <w:b/>
                <w:bCs/>
              </w:rPr>
              <w:t>-log</w:t>
            </w:r>
          </w:p>
          <w:p w:rsidR="007D6E03" w:rsidRPr="007D6E03" w:rsidRDefault="007D6E03" w:rsidP="00785D78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7D6E03">
              <w:rPr>
                <w:rFonts w:ascii="Arial" w:eastAsia="Times New Roman" w:hAnsi="Arial" w:cs="Arial"/>
                <w:b/>
                <w:bCs/>
              </w:rPr>
              <w:t>(p-value)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:rsidR="007D6E03" w:rsidRPr="007D6E03" w:rsidRDefault="007D6E03" w:rsidP="00785D78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7D6E03">
              <w:rPr>
                <w:rFonts w:ascii="Arial" w:eastAsia="Times New Roman" w:hAnsi="Arial" w:cs="Arial"/>
                <w:b/>
                <w:bCs/>
              </w:rPr>
              <w:t>Ratio</w:t>
            </w:r>
          </w:p>
        </w:tc>
        <w:tc>
          <w:tcPr>
            <w:tcW w:w="5312" w:type="dxa"/>
            <w:shd w:val="clear" w:color="auto" w:fill="auto"/>
            <w:noWrap/>
            <w:vAlign w:val="center"/>
            <w:hideMark/>
          </w:tcPr>
          <w:p w:rsidR="007D6E03" w:rsidRPr="007D6E03" w:rsidRDefault="007D6E03" w:rsidP="00785D78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7D6E03">
              <w:rPr>
                <w:rFonts w:ascii="Arial" w:eastAsia="Times New Roman" w:hAnsi="Arial" w:cs="Arial"/>
                <w:b/>
                <w:bCs/>
              </w:rPr>
              <w:t>Molecules</w:t>
            </w:r>
            <w:r w:rsidR="00051D94">
              <w:rPr>
                <w:rFonts w:ascii="Arial" w:eastAsia="Times New Roman" w:hAnsi="Arial" w:cs="Arial"/>
                <w:b/>
                <w:bCs/>
              </w:rPr>
              <w:t xml:space="preserve"> (UniProt IDs)</w:t>
            </w:r>
          </w:p>
        </w:tc>
      </w:tr>
      <w:tr w:rsidR="007D6E03" w:rsidRPr="007D6E03" w:rsidTr="0071504E">
        <w:trPr>
          <w:trHeight w:val="255"/>
        </w:trPr>
        <w:tc>
          <w:tcPr>
            <w:tcW w:w="6757" w:type="dxa"/>
            <w:shd w:val="clear" w:color="auto" w:fill="auto"/>
            <w:noWrap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Hepatic Fibrosis / Hepatic Stellate Cell Activation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11.3</w:t>
            </w:r>
          </w:p>
        </w:tc>
        <w:tc>
          <w:tcPr>
            <w:tcW w:w="978" w:type="dxa"/>
            <w:shd w:val="clear" w:color="auto" w:fill="auto"/>
            <w:noWrap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0.0497</w:t>
            </w:r>
          </w:p>
        </w:tc>
        <w:tc>
          <w:tcPr>
            <w:tcW w:w="5312" w:type="dxa"/>
            <w:shd w:val="clear" w:color="auto" w:fill="auto"/>
            <w:noWrap/>
            <w:hideMark/>
          </w:tcPr>
          <w:p w:rsidR="0071504E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CXCL8,IGF2,IGF1,TNFRSF1A,IGFBP5,IL6,A2M,</w:t>
            </w:r>
          </w:p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FASLG,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7D6E03">
              <w:rPr>
                <w:rFonts w:ascii="Arial" w:eastAsia="Times New Roman" w:hAnsi="Arial" w:cs="Arial"/>
              </w:rPr>
              <w:t>EGFR</w:t>
            </w:r>
          </w:p>
        </w:tc>
      </w:tr>
      <w:tr w:rsidR="007D6E03" w:rsidRPr="007D6E03" w:rsidTr="0071504E">
        <w:trPr>
          <w:trHeight w:val="255"/>
        </w:trPr>
        <w:tc>
          <w:tcPr>
            <w:tcW w:w="6757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Acute Phase Response Signaling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8.25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0.0417</w:t>
            </w:r>
          </w:p>
        </w:tc>
        <w:tc>
          <w:tcPr>
            <w:tcW w:w="5312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FTL,TNFRSF1A,SAA1,CRP,IL6,FGA,A2M</w:t>
            </w:r>
          </w:p>
        </w:tc>
      </w:tr>
      <w:tr w:rsidR="007D6E03" w:rsidRPr="007D6E03" w:rsidTr="0071504E">
        <w:trPr>
          <w:trHeight w:val="255"/>
        </w:trPr>
        <w:tc>
          <w:tcPr>
            <w:tcW w:w="6757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IL-6 Signaling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5.85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0.0394</w:t>
            </w:r>
          </w:p>
        </w:tc>
        <w:tc>
          <w:tcPr>
            <w:tcW w:w="5312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CXCL8,TNFRSF1A,CRP,IL6,A2M</w:t>
            </w:r>
          </w:p>
        </w:tc>
      </w:tr>
      <w:tr w:rsidR="007D6E03" w:rsidRPr="007D6E03" w:rsidTr="0071504E">
        <w:trPr>
          <w:trHeight w:val="255"/>
        </w:trPr>
        <w:tc>
          <w:tcPr>
            <w:tcW w:w="6757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HMGB1 Signaling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5.79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0.0382</w:t>
            </w:r>
          </w:p>
        </w:tc>
        <w:tc>
          <w:tcPr>
            <w:tcW w:w="5312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CXCL8,AGER,TNFRSF1A,IL6,PLAT</w:t>
            </w:r>
          </w:p>
        </w:tc>
      </w:tr>
      <w:tr w:rsidR="007D6E03" w:rsidRPr="007D6E03" w:rsidTr="0071504E">
        <w:trPr>
          <w:trHeight w:val="255"/>
        </w:trPr>
        <w:tc>
          <w:tcPr>
            <w:tcW w:w="6757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Coagulation System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4.67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0.0857</w:t>
            </w:r>
          </w:p>
        </w:tc>
        <w:tc>
          <w:tcPr>
            <w:tcW w:w="5312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FGA,A2M,PLAT</w:t>
            </w:r>
          </w:p>
        </w:tc>
      </w:tr>
      <w:tr w:rsidR="007D6E03" w:rsidRPr="007D6E03" w:rsidTr="0071504E">
        <w:trPr>
          <w:trHeight w:val="255"/>
        </w:trPr>
        <w:tc>
          <w:tcPr>
            <w:tcW w:w="6757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Role of IL-17F in Allergic Inflammatory Airway Diseases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4.46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0.0732</w:t>
            </w:r>
          </w:p>
        </w:tc>
        <w:tc>
          <w:tcPr>
            <w:tcW w:w="5312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CXCL8,IGF1,IL6</w:t>
            </w:r>
          </w:p>
        </w:tc>
      </w:tr>
      <w:tr w:rsidR="007D6E03" w:rsidRPr="007D6E03" w:rsidTr="0071504E">
        <w:trPr>
          <w:trHeight w:val="255"/>
        </w:trPr>
        <w:tc>
          <w:tcPr>
            <w:tcW w:w="6757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LXR/RXR Activation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4.46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0.0331</w:t>
            </w:r>
          </w:p>
        </w:tc>
        <w:tc>
          <w:tcPr>
            <w:tcW w:w="5312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TNFRSF1A,SAA1,IL6,FGA</w:t>
            </w:r>
          </w:p>
        </w:tc>
      </w:tr>
      <w:tr w:rsidR="007D6E03" w:rsidRPr="007D6E03" w:rsidTr="0071504E">
        <w:trPr>
          <w:trHeight w:val="255"/>
        </w:trPr>
        <w:tc>
          <w:tcPr>
            <w:tcW w:w="6757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T Helper Cell Differentiation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3.79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0.0435</w:t>
            </w:r>
          </w:p>
        </w:tc>
        <w:tc>
          <w:tcPr>
            <w:tcW w:w="5312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TNFRSF1A,IL2RA,IL6</w:t>
            </w:r>
          </w:p>
        </w:tc>
      </w:tr>
      <w:tr w:rsidR="007D6E03" w:rsidRPr="007D6E03" w:rsidTr="0071504E">
        <w:trPr>
          <w:trHeight w:val="255"/>
        </w:trPr>
        <w:tc>
          <w:tcPr>
            <w:tcW w:w="6757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IL-15 Signaling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3.66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0.0395</w:t>
            </w:r>
          </w:p>
        </w:tc>
        <w:tc>
          <w:tcPr>
            <w:tcW w:w="5312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CXCL8,IL6,FASLG</w:t>
            </w:r>
          </w:p>
        </w:tc>
      </w:tr>
      <w:tr w:rsidR="007D6E03" w:rsidRPr="007D6E03" w:rsidTr="0071504E">
        <w:trPr>
          <w:trHeight w:val="255"/>
        </w:trPr>
        <w:tc>
          <w:tcPr>
            <w:tcW w:w="6757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Growth Hormone Signaling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3.58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0.037</w:t>
            </w:r>
          </w:p>
        </w:tc>
        <w:tc>
          <w:tcPr>
            <w:tcW w:w="5312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IGF2,IGF1,A2M</w:t>
            </w:r>
          </w:p>
        </w:tc>
      </w:tr>
      <w:tr w:rsidR="007D6E03" w:rsidRPr="007D6E03" w:rsidTr="0071504E">
        <w:trPr>
          <w:trHeight w:val="255"/>
        </w:trPr>
        <w:tc>
          <w:tcPr>
            <w:tcW w:w="6757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Altered T Cell and B Cell Signaling in Rheumatoid Arthritis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3.55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0.0361</w:t>
            </w:r>
          </w:p>
        </w:tc>
        <w:tc>
          <w:tcPr>
            <w:tcW w:w="5312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SPP1,IL6,FASLG</w:t>
            </w:r>
          </w:p>
        </w:tc>
      </w:tr>
      <w:tr w:rsidR="007D6E03" w:rsidRPr="007D6E03" w:rsidTr="0071504E">
        <w:trPr>
          <w:trHeight w:val="255"/>
        </w:trPr>
        <w:tc>
          <w:tcPr>
            <w:tcW w:w="6757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IL-17 Signaling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3.52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0.0353</w:t>
            </w:r>
          </w:p>
        </w:tc>
        <w:tc>
          <w:tcPr>
            <w:tcW w:w="5312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CXCL8,CRP,IL6</w:t>
            </w:r>
          </w:p>
        </w:tc>
      </w:tr>
      <w:tr w:rsidR="007D6E03" w:rsidRPr="007D6E03" w:rsidTr="0071504E">
        <w:trPr>
          <w:trHeight w:val="255"/>
        </w:trPr>
        <w:tc>
          <w:tcPr>
            <w:tcW w:w="6757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Bladder Cancer Signaling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3.5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0.0349</w:t>
            </w:r>
          </w:p>
        </w:tc>
        <w:tc>
          <w:tcPr>
            <w:tcW w:w="5312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CXCL8,ERBB2,EGFR</w:t>
            </w:r>
          </w:p>
        </w:tc>
      </w:tr>
      <w:tr w:rsidR="007D6E03" w:rsidRPr="007D6E03" w:rsidTr="0071504E">
        <w:trPr>
          <w:trHeight w:val="255"/>
        </w:trPr>
        <w:tc>
          <w:tcPr>
            <w:tcW w:w="6757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Crosstalk between Dendritic Cells and Natural Killer Cells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3.46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0.0337</w:t>
            </w:r>
          </w:p>
        </w:tc>
        <w:tc>
          <w:tcPr>
            <w:tcW w:w="5312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TNFSF10,IL6,FASLG</w:t>
            </w:r>
          </w:p>
        </w:tc>
      </w:tr>
      <w:tr w:rsidR="007D6E03" w:rsidRPr="007D6E03" w:rsidTr="0071504E">
        <w:trPr>
          <w:trHeight w:val="255"/>
        </w:trPr>
        <w:tc>
          <w:tcPr>
            <w:tcW w:w="6757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Death Receptor Signaling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3.43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0.033</w:t>
            </w:r>
          </w:p>
        </w:tc>
        <w:tc>
          <w:tcPr>
            <w:tcW w:w="5312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TNFRSF1A,TNFSF10,FASLG</w:t>
            </w:r>
          </w:p>
        </w:tc>
      </w:tr>
      <w:tr w:rsidR="007D6E03" w:rsidRPr="007D6E03" w:rsidTr="0071504E">
        <w:trPr>
          <w:trHeight w:val="255"/>
        </w:trPr>
        <w:tc>
          <w:tcPr>
            <w:tcW w:w="6757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Role of Osteoblasts, Osteoclasts and Chondrocytes in Rheumatoid Arthritis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3.4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0.0176</w:t>
            </w:r>
          </w:p>
        </w:tc>
        <w:tc>
          <w:tcPr>
            <w:tcW w:w="5312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SPP1,IGF1,TNFRSF1A,IL6</w:t>
            </w:r>
          </w:p>
        </w:tc>
      </w:tr>
      <w:tr w:rsidR="007D6E03" w:rsidRPr="007D6E03" w:rsidTr="0071504E">
        <w:trPr>
          <w:trHeight w:val="255"/>
        </w:trPr>
        <w:tc>
          <w:tcPr>
            <w:tcW w:w="6757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IGF-1 Signaling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3.24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0.0283</w:t>
            </w:r>
          </w:p>
        </w:tc>
        <w:tc>
          <w:tcPr>
            <w:tcW w:w="5312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IGF1,IGFBP5,IGFBP7</w:t>
            </w:r>
          </w:p>
        </w:tc>
      </w:tr>
      <w:tr w:rsidR="007D6E03" w:rsidRPr="007D6E03" w:rsidTr="0071504E">
        <w:trPr>
          <w:trHeight w:val="255"/>
        </w:trPr>
        <w:tc>
          <w:tcPr>
            <w:tcW w:w="6757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Glioma Signaling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3.2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0.0275</w:t>
            </w:r>
          </w:p>
        </w:tc>
        <w:tc>
          <w:tcPr>
            <w:tcW w:w="5312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IGF2,IGF1,EGFR</w:t>
            </w:r>
          </w:p>
        </w:tc>
      </w:tr>
      <w:tr w:rsidR="007D6E03" w:rsidRPr="007D6E03" w:rsidTr="0071504E">
        <w:trPr>
          <w:trHeight w:val="255"/>
        </w:trPr>
        <w:tc>
          <w:tcPr>
            <w:tcW w:w="6757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IL-17A Signaling in Gastric Cells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3.17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0.08</w:t>
            </w:r>
          </w:p>
        </w:tc>
        <w:tc>
          <w:tcPr>
            <w:tcW w:w="5312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CXCL8,EGFR</w:t>
            </w:r>
          </w:p>
        </w:tc>
      </w:tr>
      <w:tr w:rsidR="007D6E03" w:rsidRPr="007D6E03" w:rsidTr="0071504E">
        <w:trPr>
          <w:trHeight w:val="255"/>
        </w:trPr>
        <w:tc>
          <w:tcPr>
            <w:tcW w:w="6757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Role of Tissue Factor in Cancer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3.09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0.0252</w:t>
            </w:r>
          </w:p>
        </w:tc>
        <w:tc>
          <w:tcPr>
            <w:tcW w:w="5312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CXCL8,FGA,EGFR</w:t>
            </w:r>
          </w:p>
        </w:tc>
      </w:tr>
      <w:tr w:rsidR="007D6E03" w:rsidRPr="007D6E03" w:rsidTr="0071504E">
        <w:trPr>
          <w:trHeight w:val="255"/>
        </w:trPr>
        <w:tc>
          <w:tcPr>
            <w:tcW w:w="6757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Intrinsic Prothrombin Activation Pathway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3.07</w:t>
            </w:r>
          </w:p>
        </w:tc>
        <w:tc>
          <w:tcPr>
            <w:tcW w:w="978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0.0714</w:t>
            </w:r>
          </w:p>
        </w:tc>
        <w:tc>
          <w:tcPr>
            <w:tcW w:w="5312" w:type="dxa"/>
            <w:shd w:val="clear" w:color="auto" w:fill="auto"/>
            <w:noWrap/>
            <w:vAlign w:val="bottom"/>
            <w:hideMark/>
          </w:tcPr>
          <w:p w:rsidR="007D6E03" w:rsidRPr="007D6E03" w:rsidRDefault="007D6E03" w:rsidP="007D6E03">
            <w:pPr>
              <w:spacing w:before="20" w:after="20" w:line="240" w:lineRule="auto"/>
              <w:rPr>
                <w:rFonts w:ascii="Arial" w:eastAsia="Times New Roman" w:hAnsi="Arial" w:cs="Arial"/>
              </w:rPr>
            </w:pPr>
            <w:r w:rsidRPr="007D6E03">
              <w:rPr>
                <w:rFonts w:ascii="Arial" w:eastAsia="Times New Roman" w:hAnsi="Arial" w:cs="Arial"/>
              </w:rPr>
              <w:t>KLK3,FGA</w:t>
            </w:r>
          </w:p>
        </w:tc>
      </w:tr>
    </w:tbl>
    <w:p w:rsidR="007D6E03" w:rsidRDefault="007D6E03" w:rsidP="007611F4">
      <w:pPr>
        <w:rPr>
          <w:rFonts w:ascii="Arial" w:hAnsi="Arial" w:cs="Arial"/>
          <w:b/>
        </w:rPr>
      </w:pPr>
    </w:p>
    <w:p w:rsidR="00480812" w:rsidRPr="00480812" w:rsidRDefault="00480812">
      <w:pPr>
        <w:rPr>
          <w:rFonts w:ascii="Arial" w:hAnsi="Arial" w:cs="Arial"/>
        </w:rPr>
      </w:pPr>
    </w:p>
    <w:sectPr w:rsidR="00480812" w:rsidRPr="00480812" w:rsidSect="00594AB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480812"/>
    <w:rsid w:val="00002C61"/>
    <w:rsid w:val="00051D94"/>
    <w:rsid w:val="00075128"/>
    <w:rsid w:val="000B6557"/>
    <w:rsid w:val="00106074"/>
    <w:rsid w:val="001224AD"/>
    <w:rsid w:val="001B3EFB"/>
    <w:rsid w:val="002325D6"/>
    <w:rsid w:val="00236190"/>
    <w:rsid w:val="002F2C4A"/>
    <w:rsid w:val="0030006D"/>
    <w:rsid w:val="003946D6"/>
    <w:rsid w:val="00480812"/>
    <w:rsid w:val="004D4EC7"/>
    <w:rsid w:val="004E1689"/>
    <w:rsid w:val="00545BBB"/>
    <w:rsid w:val="00594AB6"/>
    <w:rsid w:val="00647A2E"/>
    <w:rsid w:val="00664ED6"/>
    <w:rsid w:val="0071504E"/>
    <w:rsid w:val="00741370"/>
    <w:rsid w:val="007611F4"/>
    <w:rsid w:val="00785D78"/>
    <w:rsid w:val="007D6E03"/>
    <w:rsid w:val="008F077E"/>
    <w:rsid w:val="008F0EDD"/>
    <w:rsid w:val="00917CD7"/>
    <w:rsid w:val="00962CA7"/>
    <w:rsid w:val="009B456C"/>
    <w:rsid w:val="009E178B"/>
    <w:rsid w:val="00A210E1"/>
    <w:rsid w:val="00BA6208"/>
    <w:rsid w:val="00BC04ED"/>
    <w:rsid w:val="00BE6F3A"/>
    <w:rsid w:val="00C67CD8"/>
    <w:rsid w:val="00CA00F7"/>
    <w:rsid w:val="00CC6B32"/>
    <w:rsid w:val="00D8537C"/>
    <w:rsid w:val="00DC77C5"/>
    <w:rsid w:val="00E354C4"/>
    <w:rsid w:val="00E508D2"/>
    <w:rsid w:val="00EA4919"/>
    <w:rsid w:val="00ED2D2B"/>
    <w:rsid w:val="00FA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0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5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BB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2D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0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5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BB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2D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8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02660-80EE-4E1C-96A9-5B2365C27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1752</Characters>
  <Application>Microsoft Office Word</Application>
  <DocSecurity>0</DocSecurity>
  <Lines>103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Rush University Medical Center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Jeffrey Borgia</dc:creator>
  <cp:lastModifiedBy>TBANIGA</cp:lastModifiedBy>
  <cp:revision>3</cp:revision>
  <dcterms:created xsi:type="dcterms:W3CDTF">2017-07-18T21:12:00Z</dcterms:created>
  <dcterms:modified xsi:type="dcterms:W3CDTF">2018-03-07T06:05:00Z</dcterms:modified>
</cp:coreProperties>
</file>