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D2B" w:rsidRDefault="00ED2D2B" w:rsidP="00E354C4">
      <w:pPr>
        <w:jc w:val="both"/>
        <w:rPr>
          <w:rFonts w:ascii="Arial" w:hAnsi="Arial" w:cs="Arial"/>
        </w:rPr>
      </w:pPr>
      <w:r w:rsidRPr="00545BBB">
        <w:rPr>
          <w:rFonts w:ascii="Arial" w:hAnsi="Arial" w:cs="Arial"/>
          <w:b/>
        </w:rPr>
        <w:t xml:space="preserve">Table </w:t>
      </w:r>
      <w:r w:rsidR="00C2226B">
        <w:rPr>
          <w:rFonts w:ascii="Arial" w:hAnsi="Arial" w:cs="Arial"/>
          <w:b/>
        </w:rPr>
        <w:t>S7</w:t>
      </w:r>
      <w:bookmarkStart w:id="0" w:name="_GoBack"/>
      <w:bookmarkEnd w:id="0"/>
      <w:r w:rsidR="007611F4">
        <w:rPr>
          <w:rFonts w:ascii="Arial" w:hAnsi="Arial" w:cs="Arial"/>
          <w:b/>
        </w:rPr>
        <w:t xml:space="preserve"> Gene set enrichment analysis results based on biomarker association with VeriStrat status.</w:t>
      </w:r>
      <w:r>
        <w:rPr>
          <w:rFonts w:ascii="Arial" w:hAnsi="Arial" w:cs="Arial"/>
          <w:b/>
        </w:rPr>
        <w:t xml:space="preserve"> </w:t>
      </w:r>
      <w:r w:rsidR="00917CD7">
        <w:rPr>
          <w:rFonts w:ascii="Arial" w:hAnsi="Arial" w:cs="Arial"/>
        </w:rPr>
        <w:t>UniProt IDs were manually assigned and used to map to Gene Ontology (GO) terms, as defined at geneontology.org., with the gene set enrichment analysis performed as outlined in Subramanian et al (</w:t>
      </w:r>
      <w:r w:rsidR="00917CD7" w:rsidRPr="00917CD7">
        <w:rPr>
          <w:rFonts w:ascii="Arial" w:hAnsi="Arial" w:cs="Arial"/>
        </w:rPr>
        <w:t xml:space="preserve">Proc Natl Acad Sci U S </w:t>
      </w:r>
      <w:r w:rsidR="00917CD7">
        <w:rPr>
          <w:rFonts w:ascii="Arial" w:hAnsi="Arial" w:cs="Arial"/>
        </w:rPr>
        <w:t>A. 2005 Oct 25;102(43):15545-50). No corrections were made for multiple testing.</w:t>
      </w:r>
    </w:p>
    <w:tbl>
      <w:tblPr>
        <w:tblW w:w="1045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28"/>
        <w:gridCol w:w="1350"/>
        <w:gridCol w:w="1080"/>
      </w:tblGrid>
      <w:tr w:rsidR="00ED2D2B" w:rsidRPr="007611F4" w:rsidTr="001B3EFB">
        <w:trPr>
          <w:trHeight w:val="408"/>
        </w:trPr>
        <w:tc>
          <w:tcPr>
            <w:tcW w:w="9378" w:type="dxa"/>
            <w:gridSpan w:val="2"/>
            <w:tcBorders>
              <w:right w:val="nil"/>
            </w:tcBorders>
          </w:tcPr>
          <w:p w:rsidR="00ED2D2B" w:rsidRPr="007611F4" w:rsidRDefault="00ED2D2B" w:rsidP="00E354C4">
            <w:pPr>
              <w:pStyle w:val="Default"/>
              <w:ind w:left="7632"/>
              <w:jc w:val="center"/>
              <w:rPr>
                <w:rFonts w:ascii="Arial" w:hAnsi="Arial" w:cs="Arial"/>
                <w:sz w:val="22"/>
                <w:szCs w:val="22"/>
              </w:rPr>
            </w:pPr>
            <w:r w:rsidRPr="007611F4">
              <w:rPr>
                <w:rFonts w:ascii="Arial" w:hAnsi="Arial" w:cs="Arial"/>
                <w:b/>
                <w:bCs/>
                <w:sz w:val="22"/>
                <w:szCs w:val="22"/>
              </w:rPr>
              <w:t>Enrichment Score</w:t>
            </w:r>
          </w:p>
        </w:tc>
        <w:tc>
          <w:tcPr>
            <w:tcW w:w="1080" w:type="dxa"/>
            <w:tcBorders>
              <w:left w:val="nil"/>
            </w:tcBorders>
            <w:vAlign w:val="center"/>
          </w:tcPr>
          <w:p w:rsidR="00ED2D2B" w:rsidRPr="007611F4" w:rsidRDefault="00ED2D2B" w:rsidP="001B3EFB">
            <w:pPr>
              <w:pStyle w:val="Default"/>
              <w:rPr>
                <w:rFonts w:ascii="Arial" w:hAnsi="Arial" w:cs="Arial"/>
                <w:sz w:val="22"/>
                <w:szCs w:val="22"/>
              </w:rPr>
            </w:pPr>
            <w:r w:rsidRPr="007611F4">
              <w:rPr>
                <w:rFonts w:ascii="Arial" w:hAnsi="Arial" w:cs="Arial"/>
                <w:b/>
                <w:bCs/>
                <w:sz w:val="22"/>
                <w:szCs w:val="22"/>
              </w:rPr>
              <w:t>p-value</w:t>
            </w:r>
          </w:p>
        </w:tc>
      </w:tr>
      <w:tr w:rsidR="007611F4" w:rsidRPr="007611F4" w:rsidTr="00E354C4">
        <w:trPr>
          <w:trHeight w:val="181"/>
        </w:trPr>
        <w:tc>
          <w:tcPr>
            <w:tcW w:w="8028" w:type="dxa"/>
            <w:tcBorders>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MAPK [GO:0000187] [GO:0000186] </w:t>
            </w:r>
          </w:p>
        </w:tc>
        <w:tc>
          <w:tcPr>
            <w:tcW w:w="1350" w:type="dxa"/>
            <w:tcBorders>
              <w:left w:val="nil"/>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0.2742 </w:t>
            </w:r>
          </w:p>
        </w:tc>
        <w:tc>
          <w:tcPr>
            <w:tcW w:w="1080" w:type="dxa"/>
            <w:tcBorders>
              <w:lef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0.7450 </w:t>
            </w:r>
          </w:p>
        </w:tc>
      </w:tr>
      <w:tr w:rsidR="007611F4" w:rsidRPr="007611F4" w:rsidTr="00E354C4">
        <w:trPr>
          <w:trHeight w:val="181"/>
        </w:trPr>
        <w:tc>
          <w:tcPr>
            <w:tcW w:w="8028" w:type="dxa"/>
            <w:tcBorders>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Acute phase response [GO:0006953] </w:t>
            </w:r>
          </w:p>
        </w:tc>
        <w:tc>
          <w:tcPr>
            <w:tcW w:w="1350" w:type="dxa"/>
            <w:tcBorders>
              <w:left w:val="nil"/>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0.8125 </w:t>
            </w:r>
          </w:p>
        </w:tc>
        <w:tc>
          <w:tcPr>
            <w:tcW w:w="1080" w:type="dxa"/>
            <w:tcBorders>
              <w:left w:val="nil"/>
            </w:tcBorders>
          </w:tcPr>
          <w:p w:rsidR="00ED2D2B" w:rsidRPr="00C67CD8" w:rsidRDefault="00ED2D2B" w:rsidP="007611F4">
            <w:pPr>
              <w:pStyle w:val="Default"/>
              <w:spacing w:before="20" w:after="20"/>
              <w:rPr>
                <w:rFonts w:ascii="Arial" w:hAnsi="Arial" w:cs="Arial"/>
                <w:color w:val="auto"/>
                <w:sz w:val="22"/>
                <w:szCs w:val="22"/>
              </w:rPr>
            </w:pPr>
            <w:r w:rsidRPr="00C67CD8">
              <w:rPr>
                <w:rFonts w:ascii="Arial" w:hAnsi="Arial" w:cs="Arial"/>
                <w:color w:val="auto"/>
                <w:sz w:val="22"/>
                <w:szCs w:val="22"/>
              </w:rPr>
              <w:t xml:space="preserve">0.0088 </w:t>
            </w:r>
          </w:p>
        </w:tc>
      </w:tr>
      <w:tr w:rsidR="007611F4" w:rsidRPr="007611F4" w:rsidTr="00E354C4">
        <w:trPr>
          <w:trHeight w:val="181"/>
        </w:trPr>
        <w:tc>
          <w:tcPr>
            <w:tcW w:w="8028" w:type="dxa"/>
            <w:tcBorders>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angiogenesis [GO:0001525] </w:t>
            </w:r>
          </w:p>
        </w:tc>
        <w:tc>
          <w:tcPr>
            <w:tcW w:w="1350" w:type="dxa"/>
            <w:tcBorders>
              <w:left w:val="nil"/>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0.3439 </w:t>
            </w:r>
          </w:p>
        </w:tc>
        <w:tc>
          <w:tcPr>
            <w:tcW w:w="1080" w:type="dxa"/>
            <w:tcBorders>
              <w:left w:val="nil"/>
            </w:tcBorders>
          </w:tcPr>
          <w:p w:rsidR="00ED2D2B" w:rsidRPr="00C67CD8" w:rsidRDefault="00ED2D2B" w:rsidP="007611F4">
            <w:pPr>
              <w:pStyle w:val="Default"/>
              <w:spacing w:before="20" w:after="20"/>
              <w:rPr>
                <w:rFonts w:ascii="Arial" w:hAnsi="Arial" w:cs="Arial"/>
                <w:color w:val="auto"/>
                <w:sz w:val="22"/>
                <w:szCs w:val="22"/>
              </w:rPr>
            </w:pPr>
            <w:r w:rsidRPr="00C67CD8">
              <w:rPr>
                <w:rFonts w:ascii="Arial" w:hAnsi="Arial" w:cs="Arial"/>
                <w:color w:val="auto"/>
                <w:sz w:val="22"/>
                <w:szCs w:val="22"/>
              </w:rPr>
              <w:t xml:space="preserve">0.6169 </w:t>
            </w:r>
          </w:p>
        </w:tc>
      </w:tr>
      <w:tr w:rsidR="007611F4" w:rsidRPr="007611F4" w:rsidTr="00E354C4">
        <w:trPr>
          <w:trHeight w:val="181"/>
        </w:trPr>
        <w:tc>
          <w:tcPr>
            <w:tcW w:w="8028" w:type="dxa"/>
            <w:tcBorders>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Apoptosis [GO:0006915] [GO:0097190] </w:t>
            </w:r>
          </w:p>
        </w:tc>
        <w:tc>
          <w:tcPr>
            <w:tcW w:w="1350" w:type="dxa"/>
            <w:tcBorders>
              <w:left w:val="nil"/>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-0.4139 </w:t>
            </w:r>
          </w:p>
        </w:tc>
        <w:tc>
          <w:tcPr>
            <w:tcW w:w="1080" w:type="dxa"/>
            <w:tcBorders>
              <w:left w:val="nil"/>
            </w:tcBorders>
          </w:tcPr>
          <w:p w:rsidR="00ED2D2B" w:rsidRPr="00C67CD8" w:rsidRDefault="00ED2D2B" w:rsidP="007611F4">
            <w:pPr>
              <w:pStyle w:val="Default"/>
              <w:spacing w:before="20" w:after="20"/>
              <w:rPr>
                <w:rFonts w:ascii="Arial" w:hAnsi="Arial" w:cs="Arial"/>
                <w:color w:val="auto"/>
                <w:sz w:val="22"/>
                <w:szCs w:val="22"/>
              </w:rPr>
            </w:pPr>
            <w:r w:rsidRPr="00C67CD8">
              <w:rPr>
                <w:rFonts w:ascii="Arial" w:hAnsi="Arial" w:cs="Arial"/>
                <w:color w:val="auto"/>
                <w:sz w:val="22"/>
                <w:szCs w:val="22"/>
              </w:rPr>
              <w:t xml:space="preserve">0.5565 </w:t>
            </w:r>
          </w:p>
        </w:tc>
      </w:tr>
      <w:tr w:rsidR="007611F4" w:rsidRPr="007611F4" w:rsidTr="00E354C4">
        <w:trPr>
          <w:trHeight w:val="181"/>
        </w:trPr>
        <w:tc>
          <w:tcPr>
            <w:tcW w:w="8028" w:type="dxa"/>
            <w:tcBorders>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cell proliferation [GO:0008283] </w:t>
            </w:r>
          </w:p>
        </w:tc>
        <w:tc>
          <w:tcPr>
            <w:tcW w:w="1350" w:type="dxa"/>
            <w:tcBorders>
              <w:left w:val="nil"/>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-0.3884 </w:t>
            </w:r>
          </w:p>
        </w:tc>
        <w:tc>
          <w:tcPr>
            <w:tcW w:w="1080" w:type="dxa"/>
            <w:tcBorders>
              <w:left w:val="nil"/>
            </w:tcBorders>
          </w:tcPr>
          <w:p w:rsidR="00ED2D2B" w:rsidRPr="00C67CD8" w:rsidRDefault="00ED2D2B" w:rsidP="007611F4">
            <w:pPr>
              <w:pStyle w:val="Default"/>
              <w:spacing w:before="20" w:after="20"/>
              <w:rPr>
                <w:rFonts w:ascii="Arial" w:hAnsi="Arial" w:cs="Arial"/>
                <w:color w:val="auto"/>
                <w:sz w:val="22"/>
                <w:szCs w:val="22"/>
              </w:rPr>
            </w:pPr>
            <w:r w:rsidRPr="00C67CD8">
              <w:rPr>
                <w:rFonts w:ascii="Arial" w:hAnsi="Arial" w:cs="Arial"/>
                <w:color w:val="auto"/>
                <w:sz w:val="22"/>
                <w:szCs w:val="22"/>
              </w:rPr>
              <w:t xml:space="preserve">0.4265 </w:t>
            </w:r>
          </w:p>
        </w:tc>
      </w:tr>
      <w:tr w:rsidR="007611F4" w:rsidRPr="007611F4" w:rsidTr="00E354C4">
        <w:trPr>
          <w:trHeight w:val="181"/>
        </w:trPr>
        <w:tc>
          <w:tcPr>
            <w:tcW w:w="8028" w:type="dxa"/>
            <w:tcBorders>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chemoattractant activity [GO:0042056] </w:t>
            </w:r>
          </w:p>
        </w:tc>
        <w:tc>
          <w:tcPr>
            <w:tcW w:w="1350" w:type="dxa"/>
            <w:tcBorders>
              <w:left w:val="nil"/>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0.4753 </w:t>
            </w:r>
          </w:p>
        </w:tc>
        <w:tc>
          <w:tcPr>
            <w:tcW w:w="1080" w:type="dxa"/>
            <w:tcBorders>
              <w:left w:val="nil"/>
            </w:tcBorders>
          </w:tcPr>
          <w:p w:rsidR="00ED2D2B" w:rsidRPr="00C67CD8" w:rsidRDefault="00ED2D2B" w:rsidP="007611F4">
            <w:pPr>
              <w:pStyle w:val="Default"/>
              <w:spacing w:before="20" w:after="20"/>
              <w:rPr>
                <w:rFonts w:ascii="Arial" w:hAnsi="Arial" w:cs="Arial"/>
                <w:color w:val="auto"/>
                <w:sz w:val="22"/>
                <w:szCs w:val="22"/>
              </w:rPr>
            </w:pPr>
            <w:r w:rsidRPr="00C67CD8">
              <w:rPr>
                <w:rFonts w:ascii="Arial" w:hAnsi="Arial" w:cs="Arial"/>
                <w:color w:val="auto"/>
                <w:sz w:val="22"/>
                <w:szCs w:val="22"/>
              </w:rPr>
              <w:t xml:space="preserve">0.3476 </w:t>
            </w:r>
          </w:p>
        </w:tc>
      </w:tr>
      <w:tr w:rsidR="007611F4" w:rsidRPr="007611F4" w:rsidTr="00E354C4">
        <w:trPr>
          <w:trHeight w:val="181"/>
        </w:trPr>
        <w:tc>
          <w:tcPr>
            <w:tcW w:w="8028" w:type="dxa"/>
            <w:tcBorders>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epidermal growth factor receptor signaling pathway [GO:0007173] </w:t>
            </w:r>
          </w:p>
        </w:tc>
        <w:tc>
          <w:tcPr>
            <w:tcW w:w="1350" w:type="dxa"/>
            <w:tcBorders>
              <w:left w:val="nil"/>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-0.3801 </w:t>
            </w:r>
          </w:p>
        </w:tc>
        <w:tc>
          <w:tcPr>
            <w:tcW w:w="1080" w:type="dxa"/>
            <w:tcBorders>
              <w:left w:val="nil"/>
            </w:tcBorders>
          </w:tcPr>
          <w:p w:rsidR="00ED2D2B" w:rsidRPr="00C67CD8" w:rsidRDefault="00ED2D2B" w:rsidP="007611F4">
            <w:pPr>
              <w:pStyle w:val="Default"/>
              <w:spacing w:before="20" w:after="20"/>
              <w:rPr>
                <w:rFonts w:ascii="Arial" w:hAnsi="Arial" w:cs="Arial"/>
                <w:color w:val="auto"/>
                <w:sz w:val="22"/>
                <w:szCs w:val="22"/>
              </w:rPr>
            </w:pPr>
            <w:r w:rsidRPr="00C67CD8">
              <w:rPr>
                <w:rFonts w:ascii="Arial" w:hAnsi="Arial" w:cs="Arial"/>
                <w:color w:val="auto"/>
                <w:sz w:val="22"/>
                <w:szCs w:val="22"/>
              </w:rPr>
              <w:t xml:space="preserve">0.4979 </w:t>
            </w:r>
          </w:p>
        </w:tc>
      </w:tr>
      <w:tr w:rsidR="007611F4" w:rsidRPr="007611F4" w:rsidTr="00E354C4">
        <w:trPr>
          <w:trHeight w:val="181"/>
        </w:trPr>
        <w:tc>
          <w:tcPr>
            <w:tcW w:w="8028" w:type="dxa"/>
            <w:tcBorders>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G-protein coupled receptor signaling pathway [GO:0007186] </w:t>
            </w:r>
          </w:p>
        </w:tc>
        <w:tc>
          <w:tcPr>
            <w:tcW w:w="1350" w:type="dxa"/>
            <w:tcBorders>
              <w:left w:val="nil"/>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0.3436 </w:t>
            </w:r>
          </w:p>
        </w:tc>
        <w:tc>
          <w:tcPr>
            <w:tcW w:w="1080" w:type="dxa"/>
            <w:tcBorders>
              <w:left w:val="nil"/>
            </w:tcBorders>
          </w:tcPr>
          <w:p w:rsidR="00ED2D2B" w:rsidRPr="00C67CD8" w:rsidRDefault="00ED2D2B" w:rsidP="007611F4">
            <w:pPr>
              <w:pStyle w:val="Default"/>
              <w:spacing w:before="20" w:after="20"/>
              <w:rPr>
                <w:rFonts w:ascii="Arial" w:hAnsi="Arial" w:cs="Arial"/>
                <w:color w:val="auto"/>
                <w:sz w:val="22"/>
                <w:szCs w:val="22"/>
              </w:rPr>
            </w:pPr>
            <w:r w:rsidRPr="00C67CD8">
              <w:rPr>
                <w:rFonts w:ascii="Arial" w:hAnsi="Arial" w:cs="Arial"/>
                <w:color w:val="auto"/>
                <w:sz w:val="22"/>
                <w:szCs w:val="22"/>
              </w:rPr>
              <w:t xml:space="preserve">0.8511 </w:t>
            </w:r>
          </w:p>
        </w:tc>
      </w:tr>
      <w:tr w:rsidR="007611F4" w:rsidRPr="007611F4" w:rsidTr="00E354C4">
        <w:trPr>
          <w:trHeight w:val="181"/>
        </w:trPr>
        <w:tc>
          <w:tcPr>
            <w:tcW w:w="8028" w:type="dxa"/>
            <w:tcBorders>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immune response [GO:0006955] </w:t>
            </w:r>
          </w:p>
        </w:tc>
        <w:tc>
          <w:tcPr>
            <w:tcW w:w="1350" w:type="dxa"/>
            <w:tcBorders>
              <w:left w:val="nil"/>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0.2325 </w:t>
            </w:r>
          </w:p>
        </w:tc>
        <w:tc>
          <w:tcPr>
            <w:tcW w:w="1080" w:type="dxa"/>
            <w:tcBorders>
              <w:left w:val="nil"/>
            </w:tcBorders>
          </w:tcPr>
          <w:p w:rsidR="00ED2D2B" w:rsidRPr="00C67CD8" w:rsidRDefault="00ED2D2B" w:rsidP="007611F4">
            <w:pPr>
              <w:pStyle w:val="Default"/>
              <w:spacing w:before="20" w:after="20"/>
              <w:rPr>
                <w:rFonts w:ascii="Arial" w:hAnsi="Arial" w:cs="Arial"/>
                <w:color w:val="auto"/>
                <w:sz w:val="22"/>
                <w:szCs w:val="22"/>
              </w:rPr>
            </w:pPr>
            <w:r w:rsidRPr="00C67CD8">
              <w:rPr>
                <w:rFonts w:ascii="Arial" w:hAnsi="Arial" w:cs="Arial"/>
                <w:color w:val="auto"/>
                <w:sz w:val="22"/>
                <w:szCs w:val="22"/>
              </w:rPr>
              <w:t xml:space="preserve">0.9412 </w:t>
            </w:r>
          </w:p>
        </w:tc>
      </w:tr>
      <w:tr w:rsidR="007611F4" w:rsidRPr="007611F4" w:rsidTr="00E354C4">
        <w:trPr>
          <w:trHeight w:val="181"/>
        </w:trPr>
        <w:tc>
          <w:tcPr>
            <w:tcW w:w="8028" w:type="dxa"/>
            <w:tcBorders>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inflammatory response [GO:0006954] </w:t>
            </w:r>
          </w:p>
        </w:tc>
        <w:tc>
          <w:tcPr>
            <w:tcW w:w="1350" w:type="dxa"/>
            <w:tcBorders>
              <w:left w:val="nil"/>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0.5556 </w:t>
            </w:r>
          </w:p>
        </w:tc>
        <w:tc>
          <w:tcPr>
            <w:tcW w:w="1080" w:type="dxa"/>
            <w:tcBorders>
              <w:left w:val="nil"/>
            </w:tcBorders>
          </w:tcPr>
          <w:p w:rsidR="00ED2D2B" w:rsidRPr="00C67CD8" w:rsidRDefault="00ED2D2B" w:rsidP="007611F4">
            <w:pPr>
              <w:pStyle w:val="Default"/>
              <w:spacing w:before="20" w:after="20"/>
              <w:rPr>
                <w:rFonts w:ascii="Arial" w:hAnsi="Arial" w:cs="Arial"/>
                <w:color w:val="auto"/>
                <w:sz w:val="22"/>
                <w:szCs w:val="22"/>
              </w:rPr>
            </w:pPr>
            <w:r w:rsidRPr="00C67CD8">
              <w:rPr>
                <w:rFonts w:ascii="Arial" w:hAnsi="Arial" w:cs="Arial"/>
                <w:color w:val="auto"/>
                <w:sz w:val="22"/>
                <w:szCs w:val="22"/>
              </w:rPr>
              <w:t xml:space="preserve">0.0971 </w:t>
            </w:r>
          </w:p>
        </w:tc>
      </w:tr>
      <w:tr w:rsidR="007611F4" w:rsidRPr="007611F4" w:rsidTr="00E354C4">
        <w:trPr>
          <w:trHeight w:val="181"/>
        </w:trPr>
        <w:tc>
          <w:tcPr>
            <w:tcW w:w="8028" w:type="dxa"/>
            <w:tcBorders>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innate immune response [GO:0045087] </w:t>
            </w:r>
          </w:p>
        </w:tc>
        <w:tc>
          <w:tcPr>
            <w:tcW w:w="1350" w:type="dxa"/>
            <w:tcBorders>
              <w:left w:val="nil"/>
              <w:righ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-0.2798 </w:t>
            </w:r>
          </w:p>
        </w:tc>
        <w:tc>
          <w:tcPr>
            <w:tcW w:w="1080" w:type="dxa"/>
            <w:tcBorders>
              <w:left w:val="nil"/>
            </w:tcBorders>
          </w:tcPr>
          <w:p w:rsidR="00ED2D2B" w:rsidRPr="007611F4" w:rsidRDefault="00ED2D2B" w:rsidP="007611F4">
            <w:pPr>
              <w:pStyle w:val="Default"/>
              <w:spacing w:before="20" w:after="20"/>
              <w:rPr>
                <w:rFonts w:ascii="Arial" w:hAnsi="Arial" w:cs="Arial"/>
                <w:sz w:val="22"/>
                <w:szCs w:val="22"/>
              </w:rPr>
            </w:pPr>
            <w:r w:rsidRPr="007611F4">
              <w:rPr>
                <w:rFonts w:ascii="Arial" w:hAnsi="Arial" w:cs="Arial"/>
                <w:sz w:val="22"/>
                <w:szCs w:val="22"/>
              </w:rPr>
              <w:t xml:space="preserve">0.7070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MAPK cascade [GO:0000165]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-0.3369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0.5864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Necrosis [GO:0070266] [GO:0097527]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-0.8622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0.0304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negative regulation of apoptotic process [GO:0043066]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-0.3057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0.6513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positive chemotaxis [GO:0050918]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0.4885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0.2579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positive regulation of angiogenesis [GO:0045766]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0.2232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0.9404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positive regulation of ERK1 and ERK2 cascade [GO:0070374]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0.4017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0.3154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positive regulation of I-kappaB kinase/NF-kappaB signaling [GO:0043123]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-0.5441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0.4407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MAPK cascade [GO:0043406] + [GO:0043410]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-0.3658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0.3085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protein tyrosine kinase activity [GO:0004713]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-0.6769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0.1553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Ras protein signal transduction [GO:0007265]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-0.4508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0.3036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transmembrane receptor protein tyrosine kinase activity [GO:0004714]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-0.6190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0.1852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vascular endothelial growth factor receptor signaling pathway [GO:0048010]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-0.2638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0.7754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wound healing [GO:0042060]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-0.3548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0.8193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RAS/RAF/MEK/ERK signaling [GO:0000186]+[GO:0007265]+[GO:0070374]+ [GO:0043406]+[GO:0043410]+[GO:0000165]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-0.2464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0.7505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Angiogenesis [GO:0001525]+[GO:0048010]+ [GO:0045766]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-0.2093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0.9125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P13K/AKT/Apoptosis-related [GO:0043066]+[GO:0051897]+[GO:0014068]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-0.3117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0.5422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Growth Factor Signaling [GO:0007166]+[GO:0005125]+[GO:0007173]+[GO:0008083]+[GO:0007165]+[GO:0008286]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-0.2731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0.5887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Metabolic [GO:0044267]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0.3649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0.3263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Coagulation/Response to Wounding [GO:0007596]+[GO:0030168]+[GO:0030168]+[GO:0002576]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0.3085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0.6256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Immune/Inflammatory [GO:0006955]+[GO:0006954]+GO:0045087]+[GO:0006953]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0.3349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0.3805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positive regulation of cell migration [GO:0030335]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-0.4626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0.2770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positive regulation of cell proliferation [GO:0008284]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-0.3223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0.5012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response to hypoxia [GO:0001666]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-0.1793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0.9946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small GTPase mediated signal transduction [GO:0007264]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-0.3739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0.4614 </w:t>
            </w:r>
          </w:p>
        </w:tc>
      </w:tr>
      <w:tr w:rsidR="007D6E03" w:rsidRPr="007611F4" w:rsidTr="00E354C4">
        <w:trPr>
          <w:trHeight w:val="181"/>
        </w:trPr>
        <w:tc>
          <w:tcPr>
            <w:tcW w:w="8028" w:type="dxa"/>
            <w:tcBorders>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cell proliferation [GO:0008283] </w:t>
            </w:r>
          </w:p>
        </w:tc>
        <w:tc>
          <w:tcPr>
            <w:tcW w:w="1350" w:type="dxa"/>
            <w:tcBorders>
              <w:left w:val="nil"/>
              <w:righ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-0.3884 </w:t>
            </w:r>
          </w:p>
        </w:tc>
        <w:tc>
          <w:tcPr>
            <w:tcW w:w="1080" w:type="dxa"/>
            <w:tcBorders>
              <w:left w:val="nil"/>
            </w:tcBorders>
          </w:tcPr>
          <w:p w:rsidR="007611F4" w:rsidRPr="007611F4" w:rsidRDefault="007611F4" w:rsidP="007611F4">
            <w:pPr>
              <w:pStyle w:val="Default"/>
              <w:spacing w:before="20" w:after="20"/>
              <w:rPr>
                <w:rFonts w:ascii="Arial" w:hAnsi="Arial" w:cs="Arial"/>
                <w:sz w:val="22"/>
                <w:szCs w:val="22"/>
              </w:rPr>
            </w:pPr>
            <w:r w:rsidRPr="007611F4">
              <w:rPr>
                <w:rFonts w:ascii="Arial" w:hAnsi="Arial" w:cs="Arial"/>
                <w:sz w:val="22"/>
                <w:szCs w:val="22"/>
              </w:rPr>
              <w:t xml:space="preserve">0.4265 </w:t>
            </w:r>
          </w:p>
        </w:tc>
      </w:tr>
    </w:tbl>
    <w:p w:rsidR="00ED2D2B" w:rsidRDefault="00ED2D2B" w:rsidP="00ED2D2B">
      <w:pPr>
        <w:pStyle w:val="Default"/>
        <w:rPr>
          <w:color w:val="auto"/>
        </w:rPr>
      </w:pPr>
    </w:p>
    <w:sectPr w:rsidR="00ED2D2B" w:rsidSect="007D6E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480812"/>
    <w:rsid w:val="00002C61"/>
    <w:rsid w:val="00051D94"/>
    <w:rsid w:val="00075128"/>
    <w:rsid w:val="000B6557"/>
    <w:rsid w:val="00106074"/>
    <w:rsid w:val="001224AD"/>
    <w:rsid w:val="001B3EFB"/>
    <w:rsid w:val="002325D6"/>
    <w:rsid w:val="00236190"/>
    <w:rsid w:val="002F2C4A"/>
    <w:rsid w:val="0030006D"/>
    <w:rsid w:val="003946D6"/>
    <w:rsid w:val="00480812"/>
    <w:rsid w:val="004D4EC7"/>
    <w:rsid w:val="004E1689"/>
    <w:rsid w:val="00545BBB"/>
    <w:rsid w:val="00647A2E"/>
    <w:rsid w:val="0071504E"/>
    <w:rsid w:val="00741370"/>
    <w:rsid w:val="007611F4"/>
    <w:rsid w:val="00785D78"/>
    <w:rsid w:val="007D6E03"/>
    <w:rsid w:val="008F077E"/>
    <w:rsid w:val="008F0EDD"/>
    <w:rsid w:val="00917CD7"/>
    <w:rsid w:val="00962CA7"/>
    <w:rsid w:val="009B456C"/>
    <w:rsid w:val="009E178B"/>
    <w:rsid w:val="00A210E1"/>
    <w:rsid w:val="00BA6208"/>
    <w:rsid w:val="00BC04ED"/>
    <w:rsid w:val="00BE6F3A"/>
    <w:rsid w:val="00C2226B"/>
    <w:rsid w:val="00C67CD8"/>
    <w:rsid w:val="00CA00F7"/>
    <w:rsid w:val="00CC6B32"/>
    <w:rsid w:val="00D8537C"/>
    <w:rsid w:val="00DC77C5"/>
    <w:rsid w:val="00E354C4"/>
    <w:rsid w:val="00E508D2"/>
    <w:rsid w:val="00EA4919"/>
    <w:rsid w:val="00ED2D2B"/>
    <w:rsid w:val="00EE38B8"/>
    <w:rsid w:val="00FA10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0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5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BBB"/>
    <w:rPr>
      <w:rFonts w:ascii="Tahoma" w:hAnsi="Tahoma" w:cs="Tahoma"/>
      <w:sz w:val="16"/>
      <w:szCs w:val="16"/>
    </w:rPr>
  </w:style>
  <w:style w:type="paragraph" w:customStyle="1" w:styleId="Default">
    <w:name w:val="Default"/>
    <w:rsid w:val="00ED2D2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0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5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BBB"/>
    <w:rPr>
      <w:rFonts w:ascii="Tahoma" w:hAnsi="Tahoma" w:cs="Tahoma"/>
      <w:sz w:val="16"/>
      <w:szCs w:val="16"/>
    </w:rPr>
  </w:style>
  <w:style w:type="paragraph" w:customStyle="1" w:styleId="Default">
    <w:name w:val="Default"/>
    <w:rsid w:val="00ED2D2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75369">
      <w:bodyDiv w:val="1"/>
      <w:marLeft w:val="0"/>
      <w:marRight w:val="0"/>
      <w:marTop w:val="0"/>
      <w:marBottom w:val="0"/>
      <w:divBdr>
        <w:top w:val="none" w:sz="0" w:space="0" w:color="auto"/>
        <w:left w:val="none" w:sz="0" w:space="0" w:color="auto"/>
        <w:bottom w:val="none" w:sz="0" w:space="0" w:color="auto"/>
        <w:right w:val="none" w:sz="0" w:space="0" w:color="auto"/>
      </w:divBdr>
    </w:div>
    <w:div w:id="1502500100">
      <w:bodyDiv w:val="1"/>
      <w:marLeft w:val="0"/>
      <w:marRight w:val="0"/>
      <w:marTop w:val="0"/>
      <w:marBottom w:val="0"/>
      <w:divBdr>
        <w:top w:val="none" w:sz="0" w:space="0" w:color="auto"/>
        <w:left w:val="none" w:sz="0" w:space="0" w:color="auto"/>
        <w:bottom w:val="none" w:sz="0" w:space="0" w:color="auto"/>
        <w:right w:val="none" w:sz="0" w:space="0" w:color="auto"/>
      </w:divBdr>
    </w:div>
    <w:div w:id="1535852558">
      <w:bodyDiv w:val="1"/>
      <w:marLeft w:val="0"/>
      <w:marRight w:val="0"/>
      <w:marTop w:val="0"/>
      <w:marBottom w:val="0"/>
      <w:divBdr>
        <w:top w:val="none" w:sz="0" w:space="0" w:color="auto"/>
        <w:left w:val="none" w:sz="0" w:space="0" w:color="auto"/>
        <w:bottom w:val="none" w:sz="0" w:space="0" w:color="auto"/>
        <w:right w:val="none" w:sz="0" w:space="0" w:color="auto"/>
      </w:divBdr>
    </w:div>
    <w:div w:id="1829515688">
      <w:bodyDiv w:val="1"/>
      <w:marLeft w:val="0"/>
      <w:marRight w:val="0"/>
      <w:marTop w:val="0"/>
      <w:marBottom w:val="0"/>
      <w:divBdr>
        <w:top w:val="none" w:sz="0" w:space="0" w:color="auto"/>
        <w:left w:val="none" w:sz="0" w:space="0" w:color="auto"/>
        <w:bottom w:val="none" w:sz="0" w:space="0" w:color="auto"/>
        <w:right w:val="none" w:sz="0" w:space="0" w:color="auto"/>
      </w:divBdr>
    </w:div>
    <w:div w:id="193974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754FF-0D6C-44E6-9149-721601B59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2570</Characters>
  <Application>Microsoft Office Word</Application>
  <DocSecurity>0</DocSecurity>
  <Lines>128</Lines>
  <Paragraphs>125</Paragraphs>
  <ScaleCrop>false</ScaleCrop>
  <HeadingPairs>
    <vt:vector size="2" baseType="variant">
      <vt:variant>
        <vt:lpstr>Title</vt:lpstr>
      </vt:variant>
      <vt:variant>
        <vt:i4>1</vt:i4>
      </vt:variant>
    </vt:vector>
  </HeadingPairs>
  <TitlesOfParts>
    <vt:vector size="1" baseType="lpstr">
      <vt:lpstr/>
    </vt:vector>
  </TitlesOfParts>
  <Company>Rush University Medical Center</Company>
  <LinksUpToDate>false</LinksUpToDate>
  <CharactersWithSpaces>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Borgia</dc:creator>
  <cp:lastModifiedBy>TBANIGA</cp:lastModifiedBy>
  <cp:revision>3</cp:revision>
  <dcterms:created xsi:type="dcterms:W3CDTF">2017-07-18T21:13:00Z</dcterms:created>
  <dcterms:modified xsi:type="dcterms:W3CDTF">2018-03-07T06:05:00Z</dcterms:modified>
</cp:coreProperties>
</file>