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1BA" w:rsidRDefault="009461BA" w:rsidP="001120BD">
      <w:pPr>
        <w:pStyle w:val="Heading1"/>
        <w:keepNext w:val="0"/>
        <w:keepLines w:val="0"/>
        <w:widowControl w:val="0"/>
      </w:pPr>
      <w:r>
        <w:t>Additional file 2</w:t>
      </w:r>
    </w:p>
    <w:p w:rsidR="00265DAD" w:rsidRDefault="00265DAD" w:rsidP="001120BD">
      <w:pPr>
        <w:pStyle w:val="Heading1"/>
        <w:keepNext w:val="0"/>
        <w:keepLines w:val="0"/>
        <w:widowControl w:val="0"/>
      </w:pPr>
      <w:bookmarkStart w:id="0" w:name="_GoBack"/>
      <w:r w:rsidRPr="00622C62">
        <w:rPr>
          <w:vertAlign w:val="superscript"/>
        </w:rPr>
        <w:t>18</w:t>
      </w:r>
      <w:r>
        <w:t>F-FDG PET/CT imaging</w:t>
      </w:r>
      <w:bookmarkEnd w:id="0"/>
    </w:p>
    <w:p w:rsidR="004F04DF" w:rsidRDefault="004F04DF" w:rsidP="001120BD">
      <w:pPr>
        <w:widowControl w:val="0"/>
        <w:autoSpaceDE w:val="0"/>
        <w:autoSpaceDN w:val="0"/>
        <w:adjustRightInd w:val="0"/>
        <w:spacing w:after="0" w:line="240" w:lineRule="auto"/>
        <w:rPr>
          <w:rFonts w:cs="Arial"/>
          <w:color w:val="FF0000"/>
          <w:szCs w:val="24"/>
        </w:rPr>
      </w:pPr>
    </w:p>
    <w:p w:rsidR="004F04DF" w:rsidRDefault="004F04DF" w:rsidP="001120BD">
      <w:pPr>
        <w:widowControl w:val="0"/>
        <w:autoSpaceDE w:val="0"/>
        <w:autoSpaceDN w:val="0"/>
        <w:adjustRightInd w:val="0"/>
        <w:spacing w:after="0" w:line="240" w:lineRule="auto"/>
        <w:rPr>
          <w:rFonts w:cs="Arial"/>
          <w:color w:val="FF0000"/>
          <w:szCs w:val="24"/>
        </w:rPr>
      </w:pPr>
    </w:p>
    <w:p w:rsidR="004F04DF" w:rsidRPr="006023C5" w:rsidRDefault="004F04DF" w:rsidP="001120BD">
      <w:pPr>
        <w:widowControl w:val="0"/>
        <w:autoSpaceDE w:val="0"/>
        <w:autoSpaceDN w:val="0"/>
        <w:adjustRightInd w:val="0"/>
        <w:spacing w:after="0"/>
        <w:rPr>
          <w:rFonts w:cs="Arial"/>
          <w:color w:val="353535"/>
          <w:lang w:val="en-US"/>
        </w:rPr>
      </w:pPr>
      <w:r w:rsidRPr="006023C5">
        <w:rPr>
          <w:rFonts w:cs="Arial"/>
          <w:color w:val="353535"/>
          <w:lang w:val="en-US"/>
        </w:rPr>
        <w:t xml:space="preserve">Patients were required to fast 6 hours before PET/CT examination with glucose level below 11 </w:t>
      </w:r>
      <w:proofErr w:type="spellStart"/>
      <w:r w:rsidRPr="006023C5">
        <w:rPr>
          <w:rFonts w:cs="Arial"/>
          <w:color w:val="353535"/>
          <w:lang w:val="en-US"/>
        </w:rPr>
        <w:t>mmol</w:t>
      </w:r>
      <w:proofErr w:type="spellEnd"/>
      <w:r w:rsidRPr="006023C5">
        <w:rPr>
          <w:rFonts w:cs="Arial"/>
          <w:color w:val="353535"/>
          <w:lang w:val="en-US"/>
        </w:rPr>
        <w:t xml:space="preserve">/L at the time of 18F-FDG injection. 18F-FDG dosage was weight based: weight (kg) _x 4.8 </w:t>
      </w:r>
      <w:proofErr w:type="spellStart"/>
      <w:r w:rsidRPr="006023C5">
        <w:rPr>
          <w:rFonts w:cs="Arial"/>
          <w:color w:val="353535"/>
          <w:lang w:val="en-US"/>
        </w:rPr>
        <w:t>MBq</w:t>
      </w:r>
      <w:proofErr w:type="spellEnd"/>
      <w:r w:rsidRPr="006023C5">
        <w:rPr>
          <w:rFonts w:cs="Arial"/>
          <w:color w:val="353535"/>
          <w:lang w:val="en-US"/>
        </w:rPr>
        <w:t xml:space="preserve">. PET/CT was acquired using dedicated PET/CT scanner (Discovery 710, Biograph 64, 128, 1080) 60 minutes after 18F-FDG injection which provided three-dimensional acquisition, processing and display of CT, PET and PET/CT images, with 4.2 - 6.0 mm PET spatial resolution. First, a low dose CT (30mA, 120 </w:t>
      </w:r>
      <w:proofErr w:type="spellStart"/>
      <w:r w:rsidRPr="006023C5">
        <w:rPr>
          <w:rFonts w:cs="Arial"/>
          <w:color w:val="353535"/>
          <w:lang w:val="en-US"/>
        </w:rPr>
        <w:t>kVp</w:t>
      </w:r>
      <w:proofErr w:type="spellEnd"/>
      <w:r w:rsidRPr="006023C5">
        <w:rPr>
          <w:rFonts w:cs="Arial"/>
          <w:color w:val="353535"/>
          <w:lang w:val="en-US"/>
        </w:rPr>
        <w:t>, field of view 500 mm, length of scan 1.0–1.5 m with a speed of 100 mm/sec and a spatial resolution of 1 mm) was performed from the tip of the skull to the level of the proximal thigh or to feet. Then, the acquisition of PET emission images was performed (2–3 minutes per bed position of 8.4 cm). The total acquisition time, accumulating between 100 and 150 million useful events, varied between 25 and 35 minutes per patient. The CT data were used for attenuation correction of PET emission images, and for fusion with PET data for accurate localization of lesions. Non-attenuated data were reconstructed after scan acquisition had been completed. Reconstruction of attenuation corrected data was executed concurrently.</w:t>
      </w:r>
    </w:p>
    <w:p w:rsidR="004F04DF" w:rsidRDefault="004F04DF" w:rsidP="001120BD">
      <w:pPr>
        <w:widowControl w:val="0"/>
        <w:rPr>
          <w:rFonts w:cs="Arial"/>
          <w:color w:val="FF0000"/>
          <w:szCs w:val="24"/>
        </w:rPr>
      </w:pPr>
    </w:p>
    <w:p w:rsidR="00265DAD" w:rsidRDefault="003E7200" w:rsidP="001120BD">
      <w:pPr>
        <w:pStyle w:val="Heading1"/>
        <w:keepNext w:val="0"/>
        <w:keepLines w:val="0"/>
        <w:widowControl w:val="0"/>
      </w:pPr>
      <w:r>
        <w:t>MTV and MTB</w:t>
      </w:r>
      <w:r w:rsidR="00265DAD">
        <w:t xml:space="preserve"> assessment</w:t>
      </w:r>
    </w:p>
    <w:p w:rsidR="00265DAD" w:rsidRPr="005A43B8" w:rsidRDefault="005A43B8" w:rsidP="001120BD">
      <w:pPr>
        <w:widowControl w:val="0"/>
        <w:rPr>
          <w:rFonts w:cs="Arial"/>
          <w:color w:val="000000" w:themeColor="text1"/>
          <w:szCs w:val="24"/>
        </w:rPr>
      </w:pPr>
      <w:r w:rsidRPr="005A43B8">
        <w:rPr>
          <w:rFonts w:cs="Arial"/>
          <w:color w:val="000000" w:themeColor="text1"/>
          <w:szCs w:val="24"/>
        </w:rPr>
        <w:t>Metabolic tumour volume (MTV)</w:t>
      </w:r>
      <w:r w:rsidR="007D77D3">
        <w:rPr>
          <w:rFonts w:cs="Arial"/>
          <w:color w:val="000000" w:themeColor="text1"/>
          <w:szCs w:val="24"/>
        </w:rPr>
        <w:t xml:space="preserve"> and total lesion glycolysis</w:t>
      </w:r>
      <w:r w:rsidRPr="005A43B8">
        <w:rPr>
          <w:rFonts w:cs="Arial"/>
          <w:color w:val="000000" w:themeColor="text1"/>
          <w:szCs w:val="24"/>
        </w:rPr>
        <w:t xml:space="preserve"> w</w:t>
      </w:r>
      <w:r w:rsidR="007D77D3">
        <w:rPr>
          <w:rFonts w:cs="Arial"/>
          <w:color w:val="000000" w:themeColor="text1"/>
          <w:szCs w:val="24"/>
        </w:rPr>
        <w:t>ere</w:t>
      </w:r>
      <w:r w:rsidRPr="005A43B8">
        <w:rPr>
          <w:rFonts w:cs="Arial"/>
          <w:color w:val="000000" w:themeColor="text1"/>
          <w:szCs w:val="24"/>
        </w:rPr>
        <w:t xml:space="preserve"> semi-automatically calculated </w:t>
      </w:r>
      <w:r w:rsidR="00337016">
        <w:rPr>
          <w:rFonts w:cs="Arial"/>
          <w:color w:val="000000" w:themeColor="text1"/>
          <w:szCs w:val="24"/>
        </w:rPr>
        <w:t xml:space="preserve">using </w:t>
      </w:r>
      <w:proofErr w:type="spellStart"/>
      <w:r w:rsidR="00337016" w:rsidRPr="006023C5">
        <w:rPr>
          <w:rFonts w:cs="Arial"/>
          <w:i/>
          <w:color w:val="000000" w:themeColor="text1"/>
          <w:szCs w:val="24"/>
        </w:rPr>
        <w:t>Syngo</w:t>
      </w:r>
      <w:proofErr w:type="spellEnd"/>
      <w:r w:rsidR="00337016" w:rsidRPr="006023C5">
        <w:rPr>
          <w:rFonts w:cs="Arial"/>
          <w:i/>
          <w:color w:val="000000" w:themeColor="text1"/>
          <w:szCs w:val="24"/>
        </w:rPr>
        <w:t xml:space="preserve"> Via</w:t>
      </w:r>
      <w:r w:rsidR="00337016">
        <w:rPr>
          <w:rFonts w:cs="Arial"/>
          <w:color w:val="000000" w:themeColor="text1"/>
          <w:szCs w:val="24"/>
        </w:rPr>
        <w:t xml:space="preserve"> VB10b platform</w:t>
      </w:r>
      <w:r w:rsidR="007D77D3">
        <w:rPr>
          <w:rFonts w:cs="Arial"/>
          <w:color w:val="000000" w:themeColor="text1"/>
          <w:szCs w:val="24"/>
        </w:rPr>
        <w:t xml:space="preserve">. A region of interest (ROI) was drawn around each lesion. </w:t>
      </w:r>
      <w:r w:rsidR="00920E1E">
        <w:rPr>
          <w:rFonts w:cs="Arial"/>
          <w:color w:val="000000" w:themeColor="text1"/>
          <w:szCs w:val="24"/>
        </w:rPr>
        <w:t>The SUV threshold used by the software is 40% of the maximum SUV (</w:t>
      </w:r>
      <w:proofErr w:type="spellStart"/>
      <w:r w:rsidR="00920E1E">
        <w:rPr>
          <w:rFonts w:cs="Arial"/>
          <w:color w:val="000000" w:themeColor="text1"/>
          <w:szCs w:val="24"/>
        </w:rPr>
        <w:t>SUVmax</w:t>
      </w:r>
      <w:proofErr w:type="spellEnd"/>
      <w:r w:rsidR="00920E1E">
        <w:rPr>
          <w:rFonts w:cs="Arial"/>
          <w:color w:val="000000" w:themeColor="text1"/>
          <w:szCs w:val="24"/>
        </w:rPr>
        <w:t>). When lesion has high SUV (&gt;6) an SUV threshold of 2.5 was used instead. The metabolic tumour burden (MTB) is the sum of all lesions TLG.</w:t>
      </w:r>
    </w:p>
    <w:p w:rsidR="009D7446" w:rsidRDefault="009D7446" w:rsidP="001120BD">
      <w:pPr>
        <w:widowControl w:val="0"/>
      </w:pPr>
      <w:r w:rsidRPr="009D7446">
        <w:rPr>
          <w:rStyle w:val="Heading1Char"/>
        </w:rPr>
        <w:lastRenderedPageBreak/>
        <w:t>BRAF Primers:</w:t>
      </w:r>
      <w:r>
        <w:t xml:space="preserve"> </w:t>
      </w:r>
    </w:p>
    <w:p w:rsidR="009D7446" w:rsidRPr="009D7446" w:rsidRDefault="009D7446" w:rsidP="001120BD">
      <w:pPr>
        <w:widowControl w:val="0"/>
      </w:pPr>
      <w:r>
        <w:t>5’- CTACTGTTTTCC TTTACTTACTACTACACCTCAGA-3’ (forward) and 5’-ATCCAGACAACTGTTCAAACTGATG-3’ (reverse).</w:t>
      </w:r>
    </w:p>
    <w:p w:rsidR="009D7446" w:rsidRDefault="009D7446" w:rsidP="001120BD">
      <w:pPr>
        <w:widowControl w:val="0"/>
      </w:pPr>
      <w:r w:rsidRPr="009D7446">
        <w:rPr>
          <w:rStyle w:val="Heading1Char"/>
        </w:rPr>
        <w:t>BRAF probes:</w:t>
      </w:r>
      <w:r>
        <w:t xml:space="preserve"> </w:t>
      </w:r>
    </w:p>
    <w:p w:rsidR="009D7446" w:rsidRDefault="009D7446" w:rsidP="001120BD">
      <w:pPr>
        <w:widowControl w:val="0"/>
      </w:pPr>
      <w:r>
        <w:t xml:space="preserve">T1799-VIC WT (VIC-CTAGCTACAGTGAAATC-MGBNFQ) and A1799-FAM V600E (6FAM-TAGCTACAGAGAAATCMGBNFQ) or AA1798-1799-FAM V600K (6FAMTAGCTACAAAGAAATC-MGBNFQ). </w:t>
      </w:r>
    </w:p>
    <w:p w:rsidR="009D7446" w:rsidRPr="00EA1BC9" w:rsidRDefault="009D7446" w:rsidP="001120BD">
      <w:pPr>
        <w:pStyle w:val="Heading1"/>
        <w:keepNext w:val="0"/>
        <w:keepLines w:val="0"/>
        <w:widowControl w:val="0"/>
      </w:pPr>
      <w:r w:rsidRPr="005A43B8">
        <w:rPr>
          <w:i/>
        </w:rPr>
        <w:t>BRAF</w:t>
      </w:r>
      <w:r w:rsidR="005A43B8">
        <w:t xml:space="preserve">, </w:t>
      </w:r>
      <w:r w:rsidRPr="005A43B8">
        <w:rPr>
          <w:i/>
        </w:rPr>
        <w:t>NRAS</w:t>
      </w:r>
      <w:r w:rsidRPr="00EA1BC9">
        <w:t xml:space="preserve"> </w:t>
      </w:r>
      <w:r w:rsidR="005A43B8">
        <w:t xml:space="preserve">and </w:t>
      </w:r>
      <w:r w:rsidR="005A43B8" w:rsidRPr="005A43B8">
        <w:rPr>
          <w:i/>
        </w:rPr>
        <w:t>KIT</w:t>
      </w:r>
      <w:r w:rsidR="005A43B8">
        <w:t xml:space="preserve"> </w:t>
      </w:r>
      <w:r w:rsidRPr="00EA1BC9">
        <w:t>cycling conditions:</w:t>
      </w:r>
    </w:p>
    <w:p w:rsidR="009D7446" w:rsidRDefault="009D7446" w:rsidP="001120BD">
      <w:pPr>
        <w:widowControl w:val="0"/>
        <w:rPr>
          <w:rFonts w:cs="Arial"/>
          <w:color w:val="000000" w:themeColor="text1"/>
          <w:szCs w:val="24"/>
        </w:rPr>
      </w:pPr>
      <w:r>
        <w:rPr>
          <w:rFonts w:cs="Arial"/>
          <w:szCs w:val="24"/>
        </w:rPr>
        <w:t xml:space="preserve">1 cycle at </w:t>
      </w:r>
      <w:r w:rsidRPr="001F6710">
        <w:rPr>
          <w:rFonts w:eastAsiaTheme="minorEastAsia" w:cs="Arial"/>
          <w:color w:val="000000" w:themeColor="text1"/>
          <w:szCs w:val="24"/>
        </w:rPr>
        <w:t xml:space="preserve">95°C for 10 minutes, 40 cycles </w:t>
      </w:r>
      <w:r>
        <w:rPr>
          <w:rFonts w:eastAsiaTheme="minorEastAsia" w:cs="Arial"/>
          <w:color w:val="000000" w:themeColor="text1"/>
          <w:szCs w:val="24"/>
        </w:rPr>
        <w:t>at</w:t>
      </w:r>
      <w:r w:rsidRPr="001F6710">
        <w:rPr>
          <w:rFonts w:eastAsiaTheme="minorEastAsia" w:cs="Arial"/>
          <w:color w:val="000000" w:themeColor="text1"/>
          <w:szCs w:val="24"/>
        </w:rPr>
        <w:t xml:space="preserve"> 94°C for 30 seconds and 5</w:t>
      </w:r>
      <w:r>
        <w:rPr>
          <w:rFonts w:eastAsiaTheme="minorEastAsia" w:cs="Arial"/>
          <w:color w:val="000000" w:themeColor="text1"/>
          <w:szCs w:val="24"/>
        </w:rPr>
        <w:t>5</w:t>
      </w:r>
      <w:r w:rsidRPr="001F6710">
        <w:rPr>
          <w:rFonts w:eastAsiaTheme="minorEastAsia" w:cs="Arial"/>
          <w:color w:val="000000" w:themeColor="text1"/>
          <w:szCs w:val="24"/>
        </w:rPr>
        <w:t xml:space="preserve">°C for 1 minute, followed by 1 cycle </w:t>
      </w:r>
      <w:r>
        <w:rPr>
          <w:rFonts w:eastAsiaTheme="minorEastAsia" w:cs="Arial"/>
          <w:color w:val="000000" w:themeColor="text1"/>
          <w:szCs w:val="24"/>
        </w:rPr>
        <w:t>at</w:t>
      </w:r>
      <w:r w:rsidRPr="001F6710">
        <w:rPr>
          <w:rFonts w:cs="Arial"/>
          <w:color w:val="000000" w:themeColor="text1"/>
          <w:szCs w:val="24"/>
        </w:rPr>
        <w:t xml:space="preserve"> 98°C for 10 minutes.</w:t>
      </w:r>
    </w:p>
    <w:p w:rsidR="00C443E3" w:rsidRDefault="00C443E3" w:rsidP="001120BD">
      <w:pPr>
        <w:widowControl w:val="0"/>
      </w:pPr>
    </w:p>
    <w:p w:rsidR="00EA1BC9" w:rsidRDefault="00EA1BC9" w:rsidP="001120BD">
      <w:pPr>
        <w:widowControl w:val="0"/>
        <w:rPr>
          <w:rFonts w:cs="Arial"/>
          <w:color w:val="FF0000"/>
          <w:szCs w:val="24"/>
        </w:rPr>
      </w:pPr>
    </w:p>
    <w:p w:rsidR="004C6BA5" w:rsidRPr="004C6BA5" w:rsidRDefault="004C6BA5" w:rsidP="001120BD">
      <w:pPr>
        <w:widowControl w:val="0"/>
        <w:rPr>
          <w:rFonts w:cs="Arial"/>
          <w:color w:val="FF0000"/>
          <w:szCs w:val="24"/>
        </w:rPr>
      </w:pPr>
    </w:p>
    <w:p w:rsidR="00385FC1" w:rsidRDefault="00385FC1" w:rsidP="001120BD">
      <w:pPr>
        <w:widowControl w:val="0"/>
      </w:pPr>
    </w:p>
    <w:p w:rsidR="00385FC1" w:rsidRDefault="00385FC1" w:rsidP="001120BD">
      <w:pPr>
        <w:widowControl w:val="0"/>
      </w:pPr>
    </w:p>
    <w:p w:rsidR="009774C6" w:rsidRDefault="009C20FD" w:rsidP="001120BD">
      <w:pPr>
        <w:widowControl w:val="0"/>
      </w:pPr>
      <w:r w:rsidRPr="00903B57">
        <w:rPr>
          <w:rFonts w:ascii="Calibri" w:hAnsi="Calibri" w:cs="Calibri"/>
          <w:noProof/>
          <w:lang w:val="en-US"/>
        </w:rPr>
        <w:fldChar w:fldCharType="begin"/>
      </w:r>
      <w:r w:rsidR="00385FC1">
        <w:instrText xml:space="preserve"> ADDIN EN.REFLIST </w:instrText>
      </w:r>
      <w:r w:rsidRPr="00903B57">
        <w:rPr>
          <w:rFonts w:ascii="Calibri" w:hAnsi="Calibri" w:cs="Calibri"/>
          <w:noProof/>
          <w:lang w:val="en-US"/>
        </w:rPr>
        <w:fldChar w:fldCharType="end"/>
      </w:r>
    </w:p>
    <w:sectPr w:rsidR="009774C6" w:rsidSect="00C729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British Journal of Canc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z0pxsz22vxr2xezdxkpeeruazvsxard05rs&quot;&gt;My EndNote Library 27032017 Copy Copy Copy&lt;record-ids&gt;&lt;item&gt;2196&lt;/item&gt;&lt;/record-ids&gt;&lt;/item&gt;&lt;/Libraries&gt;"/>
    <w:docVar w:name="Total_Editing_Time" w:val="0"/>
  </w:docVars>
  <w:rsids>
    <w:rsidRoot w:val="009F4961"/>
    <w:rsid w:val="001120BD"/>
    <w:rsid w:val="00134310"/>
    <w:rsid w:val="00151A0C"/>
    <w:rsid w:val="00265DAD"/>
    <w:rsid w:val="00337016"/>
    <w:rsid w:val="00385FC1"/>
    <w:rsid w:val="003B2AAC"/>
    <w:rsid w:val="003E7200"/>
    <w:rsid w:val="004C6BA5"/>
    <w:rsid w:val="004F04DF"/>
    <w:rsid w:val="005A43B8"/>
    <w:rsid w:val="005B1934"/>
    <w:rsid w:val="006023C5"/>
    <w:rsid w:val="006D170C"/>
    <w:rsid w:val="007132CD"/>
    <w:rsid w:val="007D77D3"/>
    <w:rsid w:val="0090111E"/>
    <w:rsid w:val="00903B57"/>
    <w:rsid w:val="00920E1E"/>
    <w:rsid w:val="009461BA"/>
    <w:rsid w:val="009774C6"/>
    <w:rsid w:val="00980D94"/>
    <w:rsid w:val="009C20FD"/>
    <w:rsid w:val="009D7446"/>
    <w:rsid w:val="009F4961"/>
    <w:rsid w:val="00C443E3"/>
    <w:rsid w:val="00C72937"/>
    <w:rsid w:val="00D02BF3"/>
    <w:rsid w:val="00D45FC6"/>
    <w:rsid w:val="00D725FF"/>
    <w:rsid w:val="00EA1BC9"/>
    <w:rsid w:val="00F3521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446"/>
    <w:pPr>
      <w:spacing w:line="480" w:lineRule="auto"/>
    </w:pPr>
    <w:rPr>
      <w:rFonts w:ascii="Arial" w:hAnsi="Arial"/>
    </w:rPr>
  </w:style>
  <w:style w:type="paragraph" w:styleId="Heading1">
    <w:name w:val="heading 1"/>
    <w:basedOn w:val="Normal"/>
    <w:next w:val="Normal"/>
    <w:link w:val="Heading1Char"/>
    <w:uiPriority w:val="9"/>
    <w:qFormat/>
    <w:rsid w:val="009D7446"/>
    <w:pPr>
      <w:keepNext/>
      <w:keepLines/>
      <w:spacing w:before="480" w:after="0"/>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385FC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85FC1"/>
    <w:rPr>
      <w:rFonts w:ascii="Calibri" w:hAnsi="Calibri" w:cs="Calibri"/>
      <w:noProof/>
      <w:lang w:val="en-US"/>
    </w:rPr>
  </w:style>
  <w:style w:type="paragraph" w:customStyle="1" w:styleId="EndNoteBibliography">
    <w:name w:val="EndNote Bibliography"/>
    <w:basedOn w:val="Normal"/>
    <w:link w:val="EndNoteBibliographyChar"/>
    <w:rsid w:val="00385FC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85FC1"/>
    <w:rPr>
      <w:rFonts w:ascii="Calibri" w:hAnsi="Calibri" w:cs="Calibri"/>
      <w:noProof/>
      <w:lang w:val="en-US"/>
    </w:rPr>
  </w:style>
  <w:style w:type="character" w:styleId="Hyperlink">
    <w:name w:val="Hyperlink"/>
    <w:basedOn w:val="DefaultParagraphFont"/>
    <w:uiPriority w:val="99"/>
    <w:unhideWhenUsed/>
    <w:rsid w:val="00385FC1"/>
    <w:rPr>
      <w:color w:val="0000FF" w:themeColor="hyperlink"/>
      <w:u w:val="single"/>
    </w:rPr>
  </w:style>
  <w:style w:type="character" w:customStyle="1" w:styleId="Heading1Char">
    <w:name w:val="Heading 1 Char"/>
    <w:basedOn w:val="DefaultParagraphFont"/>
    <w:link w:val="Heading1"/>
    <w:uiPriority w:val="9"/>
    <w:rsid w:val="009D7446"/>
    <w:rPr>
      <w:rFonts w:ascii="Arial" w:eastAsiaTheme="majorEastAsia" w:hAnsi="Arial" w:cstheme="majorBidi"/>
      <w:b/>
      <w:bCs/>
      <w:szCs w:val="28"/>
    </w:rPr>
  </w:style>
  <w:style w:type="paragraph" w:styleId="BalloonText">
    <w:name w:val="Balloon Text"/>
    <w:basedOn w:val="Normal"/>
    <w:link w:val="BalloonTextChar"/>
    <w:uiPriority w:val="99"/>
    <w:semiHidden/>
    <w:unhideWhenUsed/>
    <w:rsid w:val="0033701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37016"/>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1817</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JCVILLEGAS</cp:lastModifiedBy>
  <cp:revision>3</cp:revision>
  <dcterms:created xsi:type="dcterms:W3CDTF">2018-02-06T13:37:00Z</dcterms:created>
  <dcterms:modified xsi:type="dcterms:W3CDTF">2018-06-29T01:59:00Z</dcterms:modified>
</cp:coreProperties>
</file>