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C6" w:rsidRPr="00267A4E" w:rsidRDefault="00305BC6" w:rsidP="00305BC6">
      <w:pPr>
        <w:rPr>
          <w:b/>
        </w:rPr>
      </w:pPr>
      <w:r>
        <w:rPr>
          <w:b/>
        </w:rPr>
        <w:t xml:space="preserve">Table </w:t>
      </w:r>
      <w:r w:rsidR="00E67283">
        <w:rPr>
          <w:b/>
        </w:rPr>
        <w:t>S</w:t>
      </w:r>
      <w:bookmarkStart w:id="0" w:name="_GoBack"/>
      <w:bookmarkEnd w:id="0"/>
      <w:r>
        <w:rPr>
          <w:b/>
        </w:rPr>
        <w:t>1</w:t>
      </w:r>
      <w:r w:rsidRPr="00267A4E">
        <w:rPr>
          <w:b/>
        </w:rPr>
        <w:t>: Guidelines for the primary prevention of cardiovascular disease using statins and antihypertensive medicines (1998-2014)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88"/>
        <w:gridCol w:w="2126"/>
        <w:gridCol w:w="2835"/>
        <w:gridCol w:w="3260"/>
      </w:tblGrid>
      <w:tr w:rsidR="00305BC6" w:rsidTr="00D62BED">
        <w:trPr>
          <w:trHeight w:val="55"/>
        </w:trPr>
        <w:tc>
          <w:tcPr>
            <w:tcW w:w="988" w:type="dxa"/>
          </w:tcPr>
          <w:p w:rsidR="00305BC6" w:rsidRPr="00A731DE" w:rsidRDefault="00305BC6" w:rsidP="00D62BED">
            <w:pPr>
              <w:rPr>
                <w:sz w:val="18"/>
                <w:szCs w:val="18"/>
              </w:rPr>
            </w:pPr>
            <w:r w:rsidRPr="00A731DE">
              <w:rPr>
                <w:sz w:val="18"/>
                <w:szCs w:val="18"/>
              </w:rPr>
              <w:t>Year</w:t>
            </w:r>
            <w:r>
              <w:rPr>
                <w:sz w:val="18"/>
                <w:szCs w:val="18"/>
              </w:rPr>
              <w:t xml:space="preserve"> published</w:t>
            </w:r>
          </w:p>
        </w:tc>
        <w:tc>
          <w:tcPr>
            <w:tcW w:w="2126" w:type="dxa"/>
          </w:tcPr>
          <w:p w:rsidR="00305BC6" w:rsidRPr="00A731DE" w:rsidRDefault="00305BC6" w:rsidP="00D62BED">
            <w:pPr>
              <w:rPr>
                <w:sz w:val="18"/>
                <w:szCs w:val="18"/>
              </w:rPr>
            </w:pPr>
            <w:r w:rsidRPr="00A731DE">
              <w:rPr>
                <w:sz w:val="18"/>
                <w:szCs w:val="18"/>
              </w:rPr>
              <w:t>Guideline</w:t>
            </w:r>
          </w:p>
        </w:tc>
        <w:tc>
          <w:tcPr>
            <w:tcW w:w="2835" w:type="dxa"/>
          </w:tcPr>
          <w:p w:rsidR="00305BC6" w:rsidRPr="00A731DE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A731DE">
              <w:rPr>
                <w:sz w:val="18"/>
                <w:szCs w:val="18"/>
              </w:rPr>
              <w:t>ndication for statin/AHT</w:t>
            </w:r>
            <w:r>
              <w:rPr>
                <w:sz w:val="18"/>
                <w:szCs w:val="18"/>
              </w:rPr>
              <w:t xml:space="preserve"> based on h</w:t>
            </w:r>
            <w:r w:rsidRPr="00A731DE">
              <w:rPr>
                <w:sz w:val="18"/>
                <w:szCs w:val="18"/>
              </w:rPr>
              <w:t xml:space="preserve">igh </w:t>
            </w:r>
            <w:r>
              <w:rPr>
                <w:sz w:val="18"/>
                <w:szCs w:val="18"/>
              </w:rPr>
              <w:t xml:space="preserve">CVD </w:t>
            </w:r>
            <w:r w:rsidRPr="00A731DE">
              <w:rPr>
                <w:sz w:val="18"/>
                <w:szCs w:val="18"/>
              </w:rPr>
              <w:t xml:space="preserve">risk </w:t>
            </w:r>
            <w:r>
              <w:rPr>
                <w:sz w:val="18"/>
                <w:szCs w:val="18"/>
              </w:rPr>
              <w:t xml:space="preserve">score </w:t>
            </w:r>
          </w:p>
        </w:tc>
        <w:tc>
          <w:tcPr>
            <w:tcW w:w="3260" w:type="dxa"/>
          </w:tcPr>
          <w:p w:rsidR="00305BC6" w:rsidRPr="00A731DE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A731DE">
              <w:rPr>
                <w:sz w:val="18"/>
                <w:szCs w:val="18"/>
              </w:rPr>
              <w:t>ndication for statin/AHT</w:t>
            </w:r>
            <w:r>
              <w:rPr>
                <w:sz w:val="18"/>
                <w:szCs w:val="18"/>
              </w:rPr>
              <w:t xml:space="preserve"> based on high risk (no CVD risk assessment required)</w:t>
            </w:r>
          </w:p>
        </w:tc>
      </w:tr>
      <w:tr w:rsidR="00305BC6" w:rsidRPr="00C97211" w:rsidTr="00D62BED">
        <w:trPr>
          <w:trHeight w:val="55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1998</w:t>
            </w:r>
          </w:p>
        </w:tc>
        <w:tc>
          <w:tcPr>
            <w:tcW w:w="2126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JBS1: Joint British Societies’ guidelines on prevention of cardiovascular disease in clinical practice</w:t>
            </w:r>
          </w:p>
        </w:tc>
        <w:tc>
          <w:tcPr>
            <w:tcW w:w="2835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As a minimum all individuals with an absolute CHD risk of 30% or more over 10 years.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When it has been shown that those at highest risk have been effectively targeted the scientific evidence justifies a progressive expansion of coronary prevention from 30% down to 15% absolute CHD risk, linked to NHS resources needed to deliver effective preventive care.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Pr="00521BB9" w:rsidRDefault="00305BC6" w:rsidP="00D62BED">
            <w:pPr>
              <w:rPr>
                <w:sz w:val="18"/>
                <w:szCs w:val="18"/>
              </w:rPr>
            </w:pPr>
            <w:r w:rsidRPr="00521BB9">
              <w:rPr>
                <w:sz w:val="18"/>
                <w:szCs w:val="18"/>
              </w:rPr>
              <w:t>Indication for AHT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severe hypertension (systolic &gt; 160 mm Hg and/or diastolic &gt; 100 mm Hg)</w:t>
            </w:r>
          </w:p>
          <w:p w:rsidR="00305BC6" w:rsidRPr="00521BB9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familial hypercholesterolaemia or</w:t>
            </w:r>
            <w:r>
              <w:rPr>
                <w:sz w:val="18"/>
                <w:szCs w:val="18"/>
              </w:rPr>
              <w:t xml:space="preserve"> other inherited dyslipidaemia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diabetes mellitus with associated target organ damage.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</w:tr>
      <w:tr w:rsidR="00305BC6" w:rsidRPr="00C97211" w:rsidTr="00D62BED">
        <w:trPr>
          <w:trHeight w:val="55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2000</w:t>
            </w:r>
          </w:p>
        </w:tc>
        <w:tc>
          <w:tcPr>
            <w:tcW w:w="2126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National Service Framework. Chapter 2. Preventing coronary heart disease in high risk patients.</w:t>
            </w:r>
          </w:p>
        </w:tc>
        <w:tc>
          <w:tcPr>
            <w:tcW w:w="2835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CHD risk greater than 30% over ten years</w:t>
            </w:r>
          </w:p>
        </w:tc>
        <w:tc>
          <w:tcPr>
            <w:tcW w:w="3260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</w:tr>
      <w:tr w:rsidR="00305BC6" w:rsidRPr="00C97211" w:rsidTr="00D62BED">
        <w:trPr>
          <w:trHeight w:val="55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2126" w:type="dxa"/>
          </w:tcPr>
          <w:p w:rsidR="00305BC6" w:rsidRPr="00E04C6C" w:rsidRDefault="00305BC6" w:rsidP="00D62BED">
            <w:pPr>
              <w:rPr>
                <w:sz w:val="18"/>
                <w:szCs w:val="18"/>
              </w:rPr>
            </w:pPr>
            <w:r w:rsidRPr="00534B4E">
              <w:rPr>
                <w:sz w:val="18"/>
                <w:szCs w:val="18"/>
              </w:rPr>
              <w:t>NICE guidelines [CG18]</w:t>
            </w:r>
            <w:r>
              <w:rPr>
                <w:sz w:val="18"/>
                <w:szCs w:val="18"/>
              </w:rPr>
              <w:t>.</w:t>
            </w:r>
            <w:r w:rsidRPr="00534B4E">
              <w:rPr>
                <w:sz w:val="18"/>
                <w:szCs w:val="18"/>
              </w:rPr>
              <w:t xml:space="preserve"> </w:t>
            </w:r>
            <w:r w:rsidRPr="00E04C6C">
              <w:rPr>
                <w:sz w:val="18"/>
                <w:szCs w:val="18"/>
              </w:rPr>
              <w:t>Essential hypertension: managing adult patients in primary care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Pr="005110D5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Persistent blood pressure ≥140/90mmHg AND 10-year cardiovascular risk score</w:t>
            </w:r>
            <w:r w:rsidRPr="005110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≥</w:t>
            </w:r>
            <w:r w:rsidRPr="005110D5">
              <w:rPr>
                <w:sz w:val="18"/>
                <w:szCs w:val="18"/>
              </w:rPr>
              <w:t xml:space="preserve">20% </w:t>
            </w:r>
            <w:r>
              <w:rPr>
                <w:sz w:val="18"/>
                <w:szCs w:val="18"/>
              </w:rPr>
              <w:t xml:space="preserve"> OR 10-year CHD score ≥15</w:t>
            </w:r>
            <w:r w:rsidRPr="005110D5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 xml:space="preserve">  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Persistent high BP of</w:t>
            </w:r>
            <w:r w:rsidRPr="00C25D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≥160/100mmHg </w:t>
            </w:r>
          </w:p>
          <w:p w:rsidR="00305BC6" w:rsidRPr="00C25D9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Persistent blood pressure ≥140/90mmHg AND existing CVD or target organ damage</w:t>
            </w:r>
          </w:p>
          <w:p w:rsidR="00305BC6" w:rsidRPr="002E7854" w:rsidRDefault="00305BC6" w:rsidP="00D62BED">
            <w:pPr>
              <w:rPr>
                <w:sz w:val="18"/>
                <w:szCs w:val="18"/>
              </w:rPr>
            </w:pPr>
          </w:p>
        </w:tc>
      </w:tr>
      <w:tr w:rsidR="00305BC6" w:rsidRPr="00C97211" w:rsidTr="00D62BED">
        <w:trPr>
          <w:trHeight w:val="55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2005</w:t>
            </w:r>
          </w:p>
        </w:tc>
        <w:tc>
          <w:tcPr>
            <w:tcW w:w="2126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JBS 2: Joint British Societies' guidelines on prevention of cardiovascular disease in clinical practice.</w:t>
            </w:r>
          </w:p>
        </w:tc>
        <w:tc>
          <w:tcPr>
            <w:tcW w:w="2835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All those with CVD risk ≥20%</w:t>
            </w:r>
            <w:r>
              <w:rPr>
                <w:sz w:val="18"/>
                <w:szCs w:val="18"/>
              </w:rPr>
              <w:t xml:space="preserve"> over 10 years (i.e. high risk) AND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Stage 1 hypertension (BP ≥140/90mmHg)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</w:p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statin: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All those with CVD risk ≥20% over 10 years (i.e. high risk).</w:t>
            </w:r>
          </w:p>
          <w:p w:rsidR="00305BC6" w:rsidRPr="00FB10F5" w:rsidRDefault="00305BC6" w:rsidP="00D62BED">
            <w:pPr>
              <w:rPr>
                <w:sz w:val="18"/>
                <w:szCs w:val="18"/>
              </w:rPr>
            </w:pP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Pr="00FB10F5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elevated blood pressure &gt; 160 mm Hg systolic or &gt; 100 mm Hg diastolic, or lesser degrees of blood pressure elevation with target organ damage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</w:p>
          <w:p w:rsidR="00305BC6" w:rsidRPr="00FB10F5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statin: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elevated total cholesterol to high density lipoprotein (HDL) cholesterol ratio &gt; 6.0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familial dyslipidaemia, such as familial hypercholesterolaemia or familial combined hyperlipidaemia.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&gt;40yo and type 1 or 2 DM</w:t>
            </w:r>
            <w:r w:rsidRPr="00FD1B3B">
              <w:rPr>
                <w:sz w:val="18"/>
                <w:szCs w:val="18"/>
              </w:rPr>
              <w:t xml:space="preserve"> </w:t>
            </w:r>
          </w:p>
        </w:tc>
      </w:tr>
      <w:tr w:rsidR="00305BC6" w:rsidRPr="00C97211" w:rsidTr="00D62BED">
        <w:trPr>
          <w:trHeight w:val="55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2005</w:t>
            </w:r>
          </w:p>
        </w:tc>
        <w:tc>
          <w:tcPr>
            <w:tcW w:w="2126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World Health Organisation (WHO). Prevention of cardiovascular disease: guidelines for assessment and management of total cardiovascular risk.</w:t>
            </w:r>
          </w:p>
        </w:tc>
        <w:tc>
          <w:tcPr>
            <w:tcW w:w="2835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10-year total CVD risk thresholds for intensive intervention: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high-resource setting: 20%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medium-resource setting: 30%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low-resource setting: 40%</w:t>
            </w:r>
          </w:p>
        </w:tc>
        <w:tc>
          <w:tcPr>
            <w:tcW w:w="3260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total cholesterol ≥ 8 mmol/l (320 mg/dl) or low-density lipoprotein (LDL) cholesterol ≥ 6 mmol/l (240 mg/dl) or TC/HDL-C ratio &gt; 8;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 xml:space="preserve"> persistent raised blood pressure (&gt; 160–170/100–105 mmHg) (38–41, 43, 83);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type 1 or 2 diabetes, with overt nephropathy or other significant renal disease;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FD1B3B">
              <w:rPr>
                <w:sz w:val="18"/>
                <w:szCs w:val="18"/>
              </w:rPr>
              <w:t>patients with known renal failure or renal impairment.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</w:tr>
      <w:tr w:rsidR="00305BC6" w:rsidRPr="00C97211" w:rsidTr="00D62BED">
        <w:trPr>
          <w:trHeight w:val="561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2126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NICE guidelines [CG34</w:t>
            </w:r>
            <w:r w:rsidRPr="00395F88">
              <w:rPr>
                <w:bCs/>
                <w:sz w:val="18"/>
                <w:szCs w:val="18"/>
              </w:rPr>
              <w:t>]</w:t>
            </w:r>
            <w:r>
              <w:rPr>
                <w:bCs/>
                <w:sz w:val="18"/>
                <w:szCs w:val="18"/>
              </w:rPr>
              <w:t xml:space="preserve"> Hypertension: management of hypertension in adults in primary care. </w:t>
            </w:r>
          </w:p>
        </w:tc>
        <w:tc>
          <w:tcPr>
            <w:tcW w:w="2835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Pr="005110D5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Persistent blood pressure ≥140/90mmHg AND 10-year cardiovascular risk score</w:t>
            </w:r>
            <w:r w:rsidRPr="005110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≥</w:t>
            </w:r>
            <w:r w:rsidRPr="005110D5">
              <w:rPr>
                <w:sz w:val="18"/>
                <w:szCs w:val="18"/>
              </w:rPr>
              <w:t xml:space="preserve">20% 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Persistent high BP of</w:t>
            </w:r>
            <w:r w:rsidRPr="00C25D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≥160/100mmHg (any age)</w:t>
            </w:r>
          </w:p>
          <w:p w:rsidR="00305BC6" w:rsidRPr="00C25D9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Persistent blood pressure ≥140/90mmHg AND existing CVD or target organ damage</w:t>
            </w:r>
          </w:p>
          <w:p w:rsidR="00305BC6" w:rsidRPr="002E7854" w:rsidRDefault="00305BC6" w:rsidP="00D62BED">
            <w:pPr>
              <w:rPr>
                <w:sz w:val="18"/>
                <w:szCs w:val="18"/>
              </w:rPr>
            </w:pPr>
          </w:p>
        </w:tc>
      </w:tr>
      <w:tr w:rsidR="00305BC6" w:rsidRPr="00C97211" w:rsidTr="00D62BED">
        <w:trPr>
          <w:trHeight w:val="876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2008</w:t>
            </w:r>
          </w:p>
        </w:tc>
        <w:tc>
          <w:tcPr>
            <w:tcW w:w="2126" w:type="dxa"/>
          </w:tcPr>
          <w:p w:rsidR="00305BC6" w:rsidRPr="005110D5" w:rsidRDefault="00305BC6" w:rsidP="00D62BED">
            <w:pPr>
              <w:rPr>
                <w:bCs/>
                <w:kern w:val="36"/>
                <w:sz w:val="18"/>
                <w:szCs w:val="18"/>
              </w:rPr>
            </w:pPr>
            <w:r w:rsidRPr="005110D5">
              <w:rPr>
                <w:bCs/>
                <w:sz w:val="18"/>
                <w:szCs w:val="18"/>
              </w:rPr>
              <w:t xml:space="preserve">NICE guidelines [CG67] </w:t>
            </w:r>
            <w:r w:rsidRPr="005110D5">
              <w:rPr>
                <w:bCs/>
                <w:kern w:val="36"/>
                <w:sz w:val="18"/>
                <w:szCs w:val="18"/>
              </w:rPr>
              <w:t>Lipid modification: Cardiovascular risk assessment and the modification of blood lipids for the primary and secondary prevention of cardiovascular disease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statin:</w:t>
            </w:r>
          </w:p>
          <w:p w:rsidR="00305BC6" w:rsidRPr="005110D5" w:rsidRDefault="00305BC6" w:rsidP="00D62BED">
            <w:pPr>
              <w:rPr>
                <w:sz w:val="18"/>
                <w:szCs w:val="18"/>
              </w:rPr>
            </w:pPr>
            <w:r w:rsidRPr="005110D5">
              <w:rPr>
                <w:sz w:val="18"/>
                <w:szCs w:val="18"/>
              </w:rPr>
              <w:t xml:space="preserve">Framingham  score &gt;20% </w:t>
            </w:r>
          </w:p>
          <w:p w:rsidR="00305BC6" w:rsidRPr="002E7854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statin:</w:t>
            </w:r>
          </w:p>
          <w:p w:rsidR="00305BC6" w:rsidRPr="005110D5" w:rsidRDefault="00305BC6" w:rsidP="00D62BED">
            <w:pPr>
              <w:rPr>
                <w:sz w:val="18"/>
                <w:szCs w:val="18"/>
              </w:rPr>
            </w:pPr>
            <w:r w:rsidRPr="005110D5">
              <w:rPr>
                <w:sz w:val="18"/>
                <w:szCs w:val="18"/>
              </w:rPr>
              <w:t>Age 75+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 w:rsidRPr="005110D5">
              <w:rPr>
                <w:sz w:val="18"/>
                <w:szCs w:val="18"/>
              </w:rPr>
              <w:t>Familial hypercholesterolaemia</w:t>
            </w:r>
          </w:p>
          <w:p w:rsidR="00305BC6" w:rsidRPr="00395F88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 c</w:t>
            </w:r>
            <w:r w:rsidRPr="005110D5">
              <w:rPr>
                <w:sz w:val="18"/>
                <w:szCs w:val="18"/>
              </w:rPr>
              <w:t>linical assessment for people for whom an appropriate risk calculator is not available or appropriate</w:t>
            </w:r>
            <w:r>
              <w:rPr>
                <w:rStyle w:val="FootnoteReference"/>
                <w:sz w:val="18"/>
                <w:szCs w:val="18"/>
              </w:rPr>
              <w:footnoteReference w:id="1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305BC6" w:rsidRPr="00C97211" w:rsidTr="00D62BED">
        <w:trPr>
          <w:trHeight w:val="887"/>
        </w:trPr>
        <w:tc>
          <w:tcPr>
            <w:tcW w:w="988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2126" w:type="dxa"/>
          </w:tcPr>
          <w:p w:rsidR="00305BC6" w:rsidRPr="005110D5" w:rsidRDefault="00305BC6" w:rsidP="00D62BE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NICE guidelines [CG127</w:t>
            </w:r>
            <w:r w:rsidRPr="00395F88">
              <w:rPr>
                <w:bCs/>
                <w:sz w:val="18"/>
                <w:szCs w:val="18"/>
              </w:rPr>
              <w:t>]</w:t>
            </w:r>
            <w:r>
              <w:rPr>
                <w:bCs/>
                <w:sz w:val="18"/>
                <w:szCs w:val="18"/>
              </w:rPr>
              <w:t xml:space="preserve"> Hypertension in adults: diagnosis and management</w:t>
            </w:r>
          </w:p>
        </w:tc>
        <w:tc>
          <w:tcPr>
            <w:tcW w:w="2835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Pr="005110D5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Stage 1 hypertension (≥140/90mmHg) AND 10-year cardiovascular risk score</w:t>
            </w:r>
            <w:r w:rsidRPr="005110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≥</w:t>
            </w:r>
            <w:r w:rsidRPr="005110D5">
              <w:rPr>
                <w:sz w:val="18"/>
                <w:szCs w:val="18"/>
              </w:rPr>
              <w:t xml:space="preserve">20% 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AHT:</w:t>
            </w:r>
          </w:p>
          <w:p w:rsidR="00305BC6" w:rsidRPr="00C25D9B" w:rsidRDefault="00305BC6" w:rsidP="00D62BED">
            <w:pPr>
              <w:rPr>
                <w:sz w:val="18"/>
                <w:szCs w:val="18"/>
              </w:rPr>
            </w:pPr>
            <w:r w:rsidRPr="00C25D9B">
              <w:rPr>
                <w:sz w:val="18"/>
                <w:szCs w:val="18"/>
              </w:rPr>
              <w:t>Stage 2 hypertension</w:t>
            </w:r>
            <w:r>
              <w:rPr>
                <w:sz w:val="18"/>
                <w:szCs w:val="18"/>
              </w:rPr>
              <w:t xml:space="preserve"> ≥160/100mmHg (any age)</w:t>
            </w:r>
          </w:p>
          <w:p w:rsidR="00305BC6" w:rsidRPr="00C25D9B" w:rsidRDefault="00305BC6" w:rsidP="00D62BED">
            <w:pPr>
              <w:rPr>
                <w:sz w:val="18"/>
                <w:szCs w:val="18"/>
              </w:rPr>
            </w:pPr>
            <w:r w:rsidRPr="00C25D9B">
              <w:rPr>
                <w:sz w:val="18"/>
                <w:szCs w:val="18"/>
              </w:rPr>
              <w:t>&lt;80 years AND Stage 1 hypertension  AND 1 or more of the following:</w:t>
            </w:r>
          </w:p>
          <w:p w:rsidR="00305BC6" w:rsidRPr="002C6228" w:rsidRDefault="00305BC6" w:rsidP="00D62BED">
            <w:pPr>
              <w:rPr>
                <w:sz w:val="18"/>
                <w:szCs w:val="18"/>
              </w:rPr>
            </w:pPr>
            <w:r w:rsidRPr="002C6228">
              <w:rPr>
                <w:sz w:val="18"/>
                <w:szCs w:val="18"/>
              </w:rPr>
              <w:t>Target organ damage (heart/kidneys)</w:t>
            </w:r>
          </w:p>
          <w:p w:rsidR="00305BC6" w:rsidRPr="002C6228" w:rsidRDefault="00305BC6" w:rsidP="00D62BED">
            <w:pPr>
              <w:rPr>
                <w:sz w:val="18"/>
                <w:szCs w:val="18"/>
              </w:rPr>
            </w:pPr>
            <w:r w:rsidRPr="002C6228">
              <w:rPr>
                <w:sz w:val="18"/>
                <w:szCs w:val="18"/>
              </w:rPr>
              <w:t>Established CVD</w:t>
            </w:r>
          </w:p>
          <w:p w:rsidR="00305BC6" w:rsidRPr="002C6228" w:rsidRDefault="00305BC6" w:rsidP="00D62BED">
            <w:pPr>
              <w:rPr>
                <w:sz w:val="18"/>
                <w:szCs w:val="18"/>
              </w:rPr>
            </w:pPr>
            <w:r w:rsidRPr="002C6228">
              <w:rPr>
                <w:sz w:val="18"/>
                <w:szCs w:val="18"/>
              </w:rPr>
              <w:t>Renal disease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  <w:r w:rsidRPr="002C6228">
              <w:rPr>
                <w:sz w:val="18"/>
                <w:szCs w:val="18"/>
              </w:rPr>
              <w:t>diabetes</w:t>
            </w:r>
          </w:p>
        </w:tc>
      </w:tr>
      <w:tr w:rsidR="00305BC6" w:rsidRPr="00C97211" w:rsidTr="00D62BED">
        <w:trPr>
          <w:trHeight w:val="248"/>
        </w:trPr>
        <w:tc>
          <w:tcPr>
            <w:tcW w:w="988" w:type="dxa"/>
          </w:tcPr>
          <w:p w:rsidR="00305BC6" w:rsidRPr="00FD1B3B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2126" w:type="dxa"/>
          </w:tcPr>
          <w:p w:rsidR="00305BC6" w:rsidRPr="00395F88" w:rsidRDefault="00305BC6" w:rsidP="00D62BED">
            <w:pPr>
              <w:rPr>
                <w:bCs/>
                <w:sz w:val="18"/>
                <w:szCs w:val="18"/>
              </w:rPr>
            </w:pPr>
            <w:r w:rsidRPr="00395F88">
              <w:rPr>
                <w:bCs/>
                <w:sz w:val="18"/>
                <w:szCs w:val="18"/>
              </w:rPr>
              <w:t>NICE guidelines [CG181] Cardiovascular disease: risk assessment and reduction, including lipid modification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</w:t>
            </w:r>
            <w:r>
              <w:rPr>
                <w:sz w:val="18"/>
                <w:szCs w:val="18"/>
                <w:vertAlign w:val="superscript"/>
              </w:rPr>
              <w:t>i</w:t>
            </w:r>
            <w:r>
              <w:rPr>
                <w:sz w:val="18"/>
                <w:szCs w:val="18"/>
              </w:rPr>
              <w:t>:</w:t>
            </w:r>
          </w:p>
          <w:p w:rsidR="00305BC6" w:rsidRPr="00395F88" w:rsidRDefault="00305BC6" w:rsidP="00D62BED">
            <w:pPr>
              <w:rPr>
                <w:sz w:val="18"/>
                <w:szCs w:val="18"/>
              </w:rPr>
            </w:pPr>
            <w:r w:rsidRPr="00395F88">
              <w:rPr>
                <w:sz w:val="18"/>
                <w:szCs w:val="18"/>
              </w:rPr>
              <w:t xml:space="preserve">QRisk2 score &gt;10% </w:t>
            </w:r>
          </w:p>
          <w:p w:rsidR="00305BC6" w:rsidRDefault="00305BC6" w:rsidP="00D62BED">
            <w:pPr>
              <w:rPr>
                <w:sz w:val="18"/>
                <w:szCs w:val="18"/>
              </w:rPr>
            </w:pP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5BC6" w:rsidRDefault="00305BC6" w:rsidP="00D62B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Indication for statin:</w:t>
            </w:r>
          </w:p>
          <w:p w:rsidR="00305BC6" w:rsidRPr="00395F88" w:rsidRDefault="00305BC6" w:rsidP="00D62BED">
            <w:pPr>
              <w:rPr>
                <w:sz w:val="18"/>
                <w:szCs w:val="18"/>
              </w:rPr>
            </w:pPr>
            <w:r w:rsidRPr="00395F88">
              <w:rPr>
                <w:sz w:val="18"/>
                <w:szCs w:val="18"/>
              </w:rPr>
              <w:t>Age 85+</w:t>
            </w:r>
          </w:p>
          <w:p w:rsidR="00305BC6" w:rsidRPr="00395F88" w:rsidRDefault="00305BC6" w:rsidP="00D62BED">
            <w:pPr>
              <w:rPr>
                <w:sz w:val="18"/>
                <w:szCs w:val="18"/>
              </w:rPr>
            </w:pPr>
            <w:r w:rsidRPr="00395F88">
              <w:rPr>
                <w:sz w:val="18"/>
                <w:szCs w:val="18"/>
              </w:rPr>
              <w:t>Type I diabetes and &gt;40 years (regardless of CVD risk score)</w:t>
            </w:r>
          </w:p>
          <w:p w:rsidR="00305BC6" w:rsidRPr="00395F88" w:rsidRDefault="00305BC6" w:rsidP="00D62BED">
            <w:pPr>
              <w:rPr>
                <w:sz w:val="18"/>
                <w:szCs w:val="18"/>
              </w:rPr>
            </w:pPr>
            <w:r w:rsidRPr="00395F88">
              <w:rPr>
                <w:sz w:val="18"/>
                <w:szCs w:val="18"/>
              </w:rPr>
              <w:t xml:space="preserve">CKD (estimated glomerular filtration rate (eGFR) less than 60 ml/min/1.73m2 and/or </w:t>
            </w:r>
            <w:r>
              <w:rPr>
                <w:sz w:val="18"/>
                <w:szCs w:val="18"/>
              </w:rPr>
              <w:t>albuminuria</w:t>
            </w:r>
            <w:r w:rsidRPr="00395F88">
              <w:rPr>
                <w:sz w:val="18"/>
                <w:szCs w:val="18"/>
              </w:rPr>
              <w:t>.</w:t>
            </w:r>
          </w:p>
          <w:p w:rsidR="00305BC6" w:rsidRPr="00FD1B3B" w:rsidRDefault="00305BC6" w:rsidP="00D62BED">
            <w:pPr>
              <w:rPr>
                <w:sz w:val="18"/>
                <w:szCs w:val="18"/>
              </w:rPr>
            </w:pPr>
            <w:r w:rsidRPr="00395F88">
              <w:rPr>
                <w:sz w:val="18"/>
                <w:szCs w:val="18"/>
              </w:rPr>
              <w:t>Familial hypercholesterolaemia</w:t>
            </w:r>
          </w:p>
        </w:tc>
      </w:tr>
    </w:tbl>
    <w:p w:rsidR="00305BC6" w:rsidRDefault="00305BC6" w:rsidP="00305BC6"/>
    <w:p w:rsidR="0046536A" w:rsidRDefault="0046536A"/>
    <w:sectPr w:rsidR="00465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7D9" w:rsidRDefault="009D47D9" w:rsidP="00305BC6">
      <w:pPr>
        <w:spacing w:after="0" w:line="240" w:lineRule="auto"/>
      </w:pPr>
      <w:r>
        <w:separator/>
      </w:r>
    </w:p>
  </w:endnote>
  <w:endnote w:type="continuationSeparator" w:id="0">
    <w:p w:rsidR="009D47D9" w:rsidRDefault="009D47D9" w:rsidP="0030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7D9" w:rsidRDefault="009D47D9" w:rsidP="00305BC6">
      <w:pPr>
        <w:spacing w:after="0" w:line="240" w:lineRule="auto"/>
      </w:pPr>
      <w:r>
        <w:separator/>
      </w:r>
    </w:p>
  </w:footnote>
  <w:footnote w:type="continuationSeparator" w:id="0">
    <w:p w:rsidR="009D47D9" w:rsidRDefault="009D47D9" w:rsidP="00305BC6">
      <w:pPr>
        <w:spacing w:after="0" w:line="240" w:lineRule="auto"/>
      </w:pPr>
      <w:r>
        <w:continuationSeparator/>
      </w:r>
    </w:p>
  </w:footnote>
  <w:footnote w:id="1">
    <w:p w:rsidR="00305BC6" w:rsidRPr="002C6228" w:rsidRDefault="00305BC6" w:rsidP="00305BC6">
      <w:pPr>
        <w:autoSpaceDE w:val="0"/>
        <w:autoSpaceDN w:val="0"/>
        <w:adjustRightInd w:val="0"/>
        <w:spacing w:after="0" w:line="240" w:lineRule="auto"/>
        <w:rPr>
          <w:color w:val="282828"/>
          <w:sz w:val="18"/>
          <w:szCs w:val="18"/>
        </w:rPr>
      </w:pPr>
      <w:r w:rsidRPr="002C6228">
        <w:rPr>
          <w:rStyle w:val="FootnoteReference"/>
          <w:sz w:val="18"/>
          <w:szCs w:val="18"/>
        </w:rPr>
        <w:footnoteRef/>
      </w:r>
      <w:r w:rsidRPr="002C6228">
        <w:rPr>
          <w:sz w:val="18"/>
          <w:szCs w:val="18"/>
        </w:rPr>
        <w:t xml:space="preserve"> </w:t>
      </w:r>
      <w:r w:rsidRPr="002C6228">
        <w:rPr>
          <w:color w:val="282828"/>
          <w:sz w:val="18"/>
          <w:szCs w:val="18"/>
        </w:rPr>
        <w:t>Recognise that standard CVD risk scores will underestimate risk in people who have additional risk because of underlying medical conditions or treatments. These groups include:</w:t>
      </w:r>
    </w:p>
    <w:p w:rsidR="00305BC6" w:rsidRPr="002C6228" w:rsidRDefault="00305BC6" w:rsidP="00305B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82828"/>
          <w:sz w:val="18"/>
          <w:szCs w:val="18"/>
        </w:rPr>
      </w:pPr>
      <w:r w:rsidRPr="002C6228">
        <w:rPr>
          <w:rFonts w:ascii="Times New Roman" w:hAnsi="Times New Roman"/>
          <w:color w:val="282828"/>
          <w:sz w:val="18"/>
          <w:szCs w:val="18"/>
        </w:rPr>
        <w:t>people treated for HIV</w:t>
      </w:r>
    </w:p>
    <w:p w:rsidR="00305BC6" w:rsidRPr="002C6228" w:rsidRDefault="00305BC6" w:rsidP="00305B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82828"/>
          <w:sz w:val="18"/>
          <w:szCs w:val="18"/>
        </w:rPr>
      </w:pPr>
      <w:r w:rsidRPr="002C6228">
        <w:rPr>
          <w:rFonts w:ascii="Times New Roman" w:hAnsi="Times New Roman"/>
          <w:color w:val="282828"/>
          <w:sz w:val="18"/>
          <w:szCs w:val="18"/>
        </w:rPr>
        <w:t>people with serious mental health problems</w:t>
      </w:r>
    </w:p>
    <w:p w:rsidR="00305BC6" w:rsidRPr="00DC02DB" w:rsidRDefault="00305BC6" w:rsidP="00305B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82828"/>
          <w:sz w:val="18"/>
          <w:szCs w:val="18"/>
        </w:rPr>
      </w:pPr>
      <w:r w:rsidRPr="00DC02DB">
        <w:rPr>
          <w:rFonts w:ascii="Times New Roman" w:hAnsi="Times New Roman"/>
          <w:color w:val="282828"/>
          <w:sz w:val="18"/>
          <w:szCs w:val="18"/>
        </w:rPr>
        <w:t>people taking medicines that can cause dyslipidaemia such as antipsychotic</w:t>
      </w:r>
      <w:r>
        <w:rPr>
          <w:rFonts w:ascii="Times New Roman" w:hAnsi="Times New Roman"/>
          <w:color w:val="282828"/>
          <w:sz w:val="18"/>
          <w:szCs w:val="18"/>
        </w:rPr>
        <w:t xml:space="preserve"> </w:t>
      </w:r>
      <w:r w:rsidRPr="00DC02DB">
        <w:rPr>
          <w:rFonts w:ascii="Times New Roman" w:hAnsi="Times New Roman"/>
          <w:color w:val="282828"/>
          <w:sz w:val="18"/>
          <w:szCs w:val="18"/>
        </w:rPr>
        <w:t>medication, corticosteroids or immunosuppressant drugs</w:t>
      </w:r>
    </w:p>
    <w:p w:rsidR="00305BC6" w:rsidRPr="00A90E1C" w:rsidRDefault="00305BC6" w:rsidP="00305B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AU"/>
        </w:rPr>
      </w:pPr>
      <w:r w:rsidRPr="00A90E1C">
        <w:rPr>
          <w:rFonts w:ascii="Times New Roman" w:hAnsi="Times New Roman"/>
          <w:color w:val="282828"/>
          <w:sz w:val="18"/>
          <w:szCs w:val="18"/>
        </w:rPr>
        <w:t xml:space="preserve">people with autoimmune disorders such as systemic lupus erythematosus, and other systemic inflammatory disorders.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F84"/>
    <w:multiLevelType w:val="hybridMultilevel"/>
    <w:tmpl w:val="719C0D24"/>
    <w:lvl w:ilvl="0" w:tplc="F8FA28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305BC6"/>
    <w:rsid w:val="00305BC6"/>
    <w:rsid w:val="0046536A"/>
    <w:rsid w:val="009D47D9"/>
    <w:rsid w:val="00E6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3742</Characters>
  <Application>Microsoft Office Word</Application>
  <DocSecurity>0</DocSecurity>
  <Lines>196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Strongman</dc:creator>
  <cp:keywords/>
  <dc:description/>
  <cp:lastModifiedBy>AJTUALA</cp:lastModifiedBy>
  <cp:revision>2</cp:revision>
  <dcterms:created xsi:type="dcterms:W3CDTF">2018-02-14T16:00:00Z</dcterms:created>
  <dcterms:modified xsi:type="dcterms:W3CDTF">2018-10-16T09:31:00Z</dcterms:modified>
</cp:coreProperties>
</file>