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AD" w:rsidRDefault="00A90F0A" w:rsidP="004826AD">
      <w:pPr>
        <w:spacing w:line="48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Additional file 2: </w:t>
      </w:r>
      <w:r w:rsidR="004826AD">
        <w:rPr>
          <w:rFonts w:ascii="Times New Roman" w:hAnsi="Times New Roman" w:cs="Times New Roman"/>
          <w:sz w:val="18"/>
          <w:szCs w:val="20"/>
        </w:rPr>
        <w:t xml:space="preserve">Table S1. </w:t>
      </w:r>
      <w:proofErr w:type="gramStart"/>
      <w:r w:rsidR="004826AD">
        <w:rPr>
          <w:rFonts w:ascii="Times New Roman" w:hAnsi="Times New Roman" w:cs="Times New Roman"/>
          <w:sz w:val="18"/>
          <w:szCs w:val="20"/>
        </w:rPr>
        <w:t>Comparison of the EGFR genotyping between tumor tissue, cell-free DNA and EV-derived DNA from the supernatant of pleural effusions in EGFR-TKI naïve patients.</w:t>
      </w:r>
      <w:bookmarkStart w:id="0" w:name="_GoBack"/>
      <w:bookmarkEnd w:id="0"/>
      <w:proofErr w:type="gramEnd"/>
    </w:p>
    <w:tbl>
      <w:tblPr>
        <w:tblStyle w:val="1"/>
        <w:tblpPr w:leftFromText="142" w:rightFromText="142" w:vertAnchor="page" w:horzAnchor="margin" w:tblpY="211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"/>
        <w:gridCol w:w="1753"/>
        <w:gridCol w:w="2335"/>
        <w:gridCol w:w="2335"/>
        <w:gridCol w:w="2337"/>
        <w:gridCol w:w="2335"/>
        <w:gridCol w:w="2337"/>
      </w:tblGrid>
      <w:tr w:rsidR="004826AD" w:rsidTr="00331F32">
        <w:trPr>
          <w:trHeight w:val="277"/>
        </w:trPr>
        <w:tc>
          <w:tcPr>
            <w:tcW w:w="173" w:type="pct"/>
            <w:vMerge w:val="restar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No.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tissue</w:t>
            </w:r>
          </w:p>
        </w:tc>
        <w:tc>
          <w:tcPr>
            <w:tcW w:w="419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Supernatant of pleural effusion</w:t>
            </w:r>
          </w:p>
        </w:tc>
      </w:tr>
      <w:tr w:rsidR="004826AD" w:rsidTr="00331F32">
        <w:trPr>
          <w:trHeight w:val="146"/>
        </w:trPr>
        <w:tc>
          <w:tcPr>
            <w:tcW w:w="173" w:type="pct"/>
            <w:vMerge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pct"/>
            <w:vMerge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Cell-free DNA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DNA concentration (ng/µL)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EV-derived DNA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DNA concentration (ng/µL)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Sampling time</w:t>
            </w:r>
          </w:p>
        </w:tc>
      </w:tr>
      <w:tr w:rsidR="004826AD" w:rsidTr="00331F32">
        <w:trPr>
          <w:trHeight w:val="221"/>
        </w:trPr>
        <w:tc>
          <w:tcPr>
            <w:tcW w:w="173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14.5</w:t>
            </w:r>
          </w:p>
        </w:tc>
        <w:tc>
          <w:tcPr>
            <w:tcW w:w="84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840" w:type="pct"/>
            <w:tcBorders>
              <w:top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19.08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18.82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21.23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20.65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14.65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14.88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12.9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12.9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40.7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86.4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25.1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75.5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116.74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22.7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41.9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30.7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3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28.2</w:t>
            </w:r>
          </w:p>
        </w:tc>
        <w:tc>
          <w:tcPr>
            <w:tcW w:w="84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57.5</w:t>
            </w:r>
          </w:p>
        </w:tc>
        <w:tc>
          <w:tcPr>
            <w:tcW w:w="840" w:type="pct"/>
            <w:tcBorders>
              <w:top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13.9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15.7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28.4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37.3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14.71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41.67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19.69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30.31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24.42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33.04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13.8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40.1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16.95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22.28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3.8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L858R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Recurrence after surgery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63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12.97</w:t>
            </w:r>
          </w:p>
        </w:tc>
        <w:tc>
          <w:tcPr>
            <w:tcW w:w="840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15.12</w:t>
            </w:r>
          </w:p>
        </w:tc>
        <w:tc>
          <w:tcPr>
            <w:tcW w:w="840" w:type="pct"/>
            <w:tcBorders>
              <w:top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21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14.72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Exon 19 del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16.27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After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line treatment failure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G719S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17.9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10.48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15.74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16.95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22.28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After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line treatment failure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27.6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13.33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14.89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After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line treatment failure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10.59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22.73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233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12.92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66"/>
        </w:trPr>
        <w:tc>
          <w:tcPr>
            <w:tcW w:w="173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3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61.3</w:t>
            </w:r>
          </w:p>
        </w:tc>
        <w:tc>
          <w:tcPr>
            <w:tcW w:w="840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225.5</w:t>
            </w:r>
          </w:p>
        </w:tc>
        <w:tc>
          <w:tcPr>
            <w:tcW w:w="840" w:type="pct"/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  <w:tr w:rsidR="004826AD" w:rsidTr="00331F32">
        <w:trPr>
          <w:trHeight w:val="66"/>
        </w:trPr>
        <w:tc>
          <w:tcPr>
            <w:tcW w:w="173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WT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:rsidR="004826AD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:rsidR="004826AD" w:rsidRPr="0031530B" w:rsidRDefault="004826AD" w:rsidP="00331F3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Treatment-naïve</w:t>
            </w:r>
          </w:p>
        </w:tc>
      </w:tr>
    </w:tbl>
    <w:p w:rsidR="00A90F0A" w:rsidRDefault="00A90F0A" w:rsidP="00A90F0A">
      <w:pPr>
        <w:rPr>
          <w:rFonts w:ascii="Times New Roman" w:hAnsi="Times New Roman" w:cs="Times New Roman"/>
          <w:sz w:val="16"/>
          <w:szCs w:val="18"/>
        </w:rPr>
      </w:pPr>
    </w:p>
    <w:p w:rsidR="00A90F0A" w:rsidRDefault="00A90F0A" w:rsidP="00A90F0A">
      <w:pPr>
        <w:rPr>
          <w:rFonts w:ascii="Times New Roman" w:hAnsi="Times New Roman" w:cs="Times New Roman"/>
          <w:sz w:val="16"/>
          <w:szCs w:val="18"/>
        </w:rPr>
      </w:pPr>
      <w:proofErr w:type="gramStart"/>
      <w:r>
        <w:rPr>
          <w:rFonts w:ascii="Times New Roman" w:hAnsi="Times New Roman" w:cs="Times New Roman"/>
          <w:sz w:val="16"/>
          <w:szCs w:val="18"/>
        </w:rPr>
        <w:t>del</w:t>
      </w:r>
      <w:proofErr w:type="gramEnd"/>
      <w:r>
        <w:rPr>
          <w:rFonts w:ascii="Times New Roman" w:hAnsi="Times New Roman" w:cs="Times New Roman"/>
          <w:sz w:val="16"/>
          <w:szCs w:val="18"/>
        </w:rPr>
        <w:t xml:space="preserve">= deletion; </w:t>
      </w:r>
      <w:proofErr w:type="spellStart"/>
      <w:r>
        <w:rPr>
          <w:rFonts w:ascii="Times New Roman" w:hAnsi="Times New Roman" w:cs="Times New Roman"/>
          <w:sz w:val="16"/>
          <w:szCs w:val="18"/>
        </w:rPr>
        <w:t>a,c</w:t>
      </w:r>
      <w:proofErr w:type="spellEnd"/>
      <w:r>
        <w:rPr>
          <w:rFonts w:ascii="Times New Roman" w:hAnsi="Times New Roman" w:cs="Times New Roman"/>
          <w:sz w:val="16"/>
          <w:szCs w:val="18"/>
        </w:rPr>
        <w:t>= follow-up loss after diagnosis; b= TKI response could not be evaluated because the patient was expired during TKI treatment.</w:t>
      </w:r>
    </w:p>
    <w:sectPr w:rsidR="00A90F0A" w:rsidSect="004826A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AD"/>
    <w:rsid w:val="001F738B"/>
    <w:rsid w:val="0031530B"/>
    <w:rsid w:val="004826AD"/>
    <w:rsid w:val="006C7094"/>
    <w:rsid w:val="00A9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표 구분선1"/>
    <w:basedOn w:val="TableNormal"/>
    <w:next w:val="TableGrid"/>
    <w:uiPriority w:val="59"/>
    <w:rsid w:val="004826AD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8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표 구분선2"/>
    <w:basedOn w:val="TableNormal"/>
    <w:next w:val="TableGrid"/>
    <w:uiPriority w:val="59"/>
    <w:rsid w:val="004826AD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표 구분선1"/>
    <w:basedOn w:val="TableNormal"/>
    <w:next w:val="TableGrid"/>
    <w:uiPriority w:val="59"/>
    <w:rsid w:val="004826AD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8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표 구분선2"/>
    <w:basedOn w:val="TableNormal"/>
    <w:next w:val="TableGrid"/>
    <w:uiPriority w:val="59"/>
    <w:rsid w:val="004826AD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C8200-7269-4D37-872A-4C4D76BA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JONG SIK</dc:creator>
  <cp:lastModifiedBy>HCALUM</cp:lastModifiedBy>
  <cp:revision>4</cp:revision>
  <dcterms:created xsi:type="dcterms:W3CDTF">2018-08-20T13:49:00Z</dcterms:created>
  <dcterms:modified xsi:type="dcterms:W3CDTF">2018-11-30T21:41:00Z</dcterms:modified>
</cp:coreProperties>
</file>