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938" w:rsidRDefault="00E61F5E" w:rsidP="00E61F5E">
      <w:pPr>
        <w:jc w:val="center"/>
        <w:rPr>
          <w:rFonts w:ascii="Arial" w:hAnsi="Arial" w:cs="Arial"/>
          <w:b/>
          <w:bCs/>
          <w:sz w:val="22"/>
          <w:lang w:val="en-GB"/>
        </w:rPr>
      </w:pPr>
      <w:r w:rsidRPr="00E61F5E">
        <w:rPr>
          <w:rFonts w:ascii="Arial" w:hAnsi="Arial" w:cs="Arial"/>
          <w:b/>
          <w:bCs/>
          <w:sz w:val="22"/>
          <w:lang w:val="en-GB"/>
        </w:rPr>
        <w:t>NEWCASTLE - OTTAWA QUALITY ASSESSMENT SCALE</w:t>
      </w:r>
    </w:p>
    <w:p w:rsidR="00E61F5E" w:rsidRPr="00E61F5E" w:rsidRDefault="00E61F5E" w:rsidP="00E61F5E">
      <w:pPr>
        <w:jc w:val="center"/>
        <w:rPr>
          <w:rFonts w:ascii="Arial" w:hAnsi="Arial" w:cs="Arial"/>
        </w:rPr>
      </w:pPr>
    </w:p>
    <w:tbl>
      <w:tblPr>
        <w:tblW w:w="15707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139"/>
        <w:gridCol w:w="661"/>
        <w:gridCol w:w="1917"/>
        <w:gridCol w:w="1579"/>
        <w:gridCol w:w="1467"/>
        <w:gridCol w:w="1894"/>
        <w:gridCol w:w="283"/>
        <w:gridCol w:w="1843"/>
        <w:gridCol w:w="236"/>
        <w:gridCol w:w="1277"/>
        <w:gridCol w:w="1560"/>
        <w:gridCol w:w="1134"/>
        <w:gridCol w:w="717"/>
      </w:tblGrid>
      <w:tr w:rsidR="00F67C45" w:rsidRPr="00E61F5E" w:rsidTr="00FA6612">
        <w:trPr>
          <w:trHeight w:val="285"/>
          <w:jc w:val="center"/>
        </w:trPr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  <w:t>Study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 w:hint="eastAsia"/>
                <w:b/>
                <w:color w:val="000000"/>
                <w:kern w:val="0"/>
                <w:sz w:val="18"/>
                <w:szCs w:val="18"/>
              </w:rPr>
              <w:t>Year</w:t>
            </w:r>
          </w:p>
        </w:tc>
        <w:tc>
          <w:tcPr>
            <w:tcW w:w="68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  <w:t>Selection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  <w:t>Comparability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67C45" w:rsidRPr="00F67C45" w:rsidRDefault="00F67C45" w:rsidP="00310D7E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  <w:t>Score</w:t>
            </w:r>
          </w:p>
        </w:tc>
      </w:tr>
      <w:tr w:rsidR="00F67C45" w:rsidRPr="00F67C45" w:rsidTr="00FA6612">
        <w:trPr>
          <w:trHeight w:val="285"/>
          <w:jc w:val="center"/>
        </w:trPr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67C45" w:rsidRPr="00E61F5E" w:rsidRDefault="00F67C45" w:rsidP="000612C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67C45" w:rsidRPr="00E61F5E" w:rsidRDefault="00F67C45" w:rsidP="000612CA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center"/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F67C45">
              <w:rPr>
                <w:rFonts w:ascii="Arial" w:eastAsia="等线" w:hAnsi="Arial" w:cs="Arial"/>
                <w:b/>
                <w:color w:val="000000"/>
                <w:kern w:val="0"/>
                <w:sz w:val="18"/>
                <w:szCs w:val="18"/>
              </w:rPr>
              <w:t>Representativeness of the exposed cohort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Selection of the non-exposed cohort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Ascertainment of exposure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Demonstration that outcome of interest was not present at start of study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Comparability of cohorts on the basis of the design or analysis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Assessment of outcome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Was follow-up long enough for outcomes to occur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67C45" w:rsidRPr="00F67C45" w:rsidRDefault="00F67C45" w:rsidP="000612CA">
            <w:pPr>
              <w:widowControl/>
              <w:jc w:val="left"/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</w:pPr>
            <w:r w:rsidRPr="00F67C45">
              <w:rPr>
                <w:rFonts w:ascii="Arial" w:eastAsia="Times New Roman" w:hAnsi="Arial" w:cs="Arial"/>
                <w:b/>
                <w:kern w:val="0"/>
                <w:sz w:val="18"/>
                <w:szCs w:val="18"/>
              </w:rPr>
              <w:t>Adequacy of follow up of cohorts</w:t>
            </w:r>
          </w:p>
        </w:tc>
        <w:tc>
          <w:tcPr>
            <w:tcW w:w="7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67C45" w:rsidRPr="00E61F5E" w:rsidRDefault="00F67C45" w:rsidP="00310D7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A6612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12" w:rsidRDefault="00FA6612" w:rsidP="00FA6612">
            <w:pPr>
              <w:widowControl/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Abu-Zaid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6612" w:rsidRDefault="00FA6612" w:rsidP="00FA6612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E61F5E" w:rsidRDefault="00FA6612" w:rsidP="00FA6612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E61F5E" w:rsidRDefault="00FA6612" w:rsidP="00FA6612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FA6612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A6612" w:rsidRPr="0062425D" w:rsidRDefault="00FA6612" w:rsidP="00FA6612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6612" w:rsidRDefault="00FA6612" w:rsidP="00FA6612">
            <w:pPr>
              <w:widowControl/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81514C">
        <w:trPr>
          <w:trHeight w:val="285"/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EB2113" w:rsidRPr="00EB2113" w:rsidRDefault="00EB2113" w:rsidP="00EB2113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EB2113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Andersen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FA6612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81514C">
        <w:trPr>
          <w:trHeight w:val="285"/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EB2113" w:rsidRPr="00EB2113" w:rsidRDefault="00EB2113" w:rsidP="00EB2113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EB2113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Njølstad</w:t>
            </w:r>
            <w:bookmarkStart w:id="0" w:name="_GoBack"/>
            <w:bookmarkEnd w:id="0"/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FA6612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Kizer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FA6612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Nakamura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FA6612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Takahashi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Heng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Matsuo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Gorelick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FD1BF5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Lerner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2113" w:rsidRPr="00E61F5E" w:rsidTr="003901A1">
        <w:trPr>
          <w:trHeight w:val="285"/>
          <w:jc w:val="center"/>
        </w:trPr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113" w:rsidRDefault="00EB2113" w:rsidP="00EB2113">
            <w:pPr>
              <w:jc w:val="lef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Moeini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2113" w:rsidRDefault="00EB2113" w:rsidP="00EB2113">
            <w:pPr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E61F5E" w:rsidRDefault="00EB2113" w:rsidP="00EB2113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835C4C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62425D">
              <w:rPr>
                <w:rFonts w:ascii="Segoe UI Symbol" w:eastAsia="等线" w:hAnsi="Segoe UI Symbol" w:cs="Segoe UI Symbol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B2113" w:rsidRPr="0062425D" w:rsidRDefault="00EB2113" w:rsidP="00EB2113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835C4C">
              <w:rPr>
                <w:rFonts w:ascii="Segoe UI Symbol" w:eastAsia="Times New Roman" w:hAnsi="Segoe UI Symbol" w:cs="Segoe UI Symbol"/>
                <w:kern w:val="0"/>
                <w:szCs w:val="21"/>
              </w:rPr>
              <w:t>☆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113" w:rsidRDefault="00EB2113" w:rsidP="00EB2113">
            <w:pPr>
              <w:jc w:val="right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sz w:val="20"/>
                <w:szCs w:val="20"/>
              </w:rPr>
              <w:t>8</w:t>
            </w:r>
          </w:p>
        </w:tc>
      </w:tr>
    </w:tbl>
    <w:p w:rsidR="00E61F5E" w:rsidRDefault="00E61F5E" w:rsidP="00402554"/>
    <w:sectPr w:rsidR="00E61F5E" w:rsidSect="00E61F5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E28" w:rsidRDefault="00EA2E28" w:rsidP="00526A44">
      <w:r>
        <w:separator/>
      </w:r>
    </w:p>
  </w:endnote>
  <w:endnote w:type="continuationSeparator" w:id="0">
    <w:p w:rsidR="00EA2E28" w:rsidRDefault="00EA2E28" w:rsidP="0052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E28" w:rsidRDefault="00EA2E28" w:rsidP="00526A44">
      <w:r>
        <w:separator/>
      </w:r>
    </w:p>
  </w:footnote>
  <w:footnote w:type="continuationSeparator" w:id="0">
    <w:p w:rsidR="00EA2E28" w:rsidRDefault="00EA2E28" w:rsidP="00526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S0MLAwNrMwMzQ3MTRU0lEKTi0uzszPAykwrgUAlq3rjywAAAA="/>
    <w:docVar w:name="KY_MEDREF_DOCUID" w:val="{569B2BD7-6B49-4FF1-BA95-B34625813C94}"/>
    <w:docVar w:name="KY_MEDREF_VERSION" w:val="3"/>
  </w:docVars>
  <w:rsids>
    <w:rsidRoot w:val="00E61F5E"/>
    <w:rsid w:val="0024103B"/>
    <w:rsid w:val="002F458F"/>
    <w:rsid w:val="00310D7E"/>
    <w:rsid w:val="00402554"/>
    <w:rsid w:val="004B5938"/>
    <w:rsid w:val="00526A44"/>
    <w:rsid w:val="005D3526"/>
    <w:rsid w:val="0062425D"/>
    <w:rsid w:val="00626FC8"/>
    <w:rsid w:val="006F0B0A"/>
    <w:rsid w:val="00796734"/>
    <w:rsid w:val="007B4271"/>
    <w:rsid w:val="00821386"/>
    <w:rsid w:val="00835C4C"/>
    <w:rsid w:val="00951A0C"/>
    <w:rsid w:val="00961203"/>
    <w:rsid w:val="009F65F6"/>
    <w:rsid w:val="00A9141C"/>
    <w:rsid w:val="00BA1557"/>
    <w:rsid w:val="00CB2AC0"/>
    <w:rsid w:val="00D42283"/>
    <w:rsid w:val="00DB0501"/>
    <w:rsid w:val="00E61F5E"/>
    <w:rsid w:val="00EA2E28"/>
    <w:rsid w:val="00EB2113"/>
    <w:rsid w:val="00F67C45"/>
    <w:rsid w:val="00FA6612"/>
    <w:rsid w:val="00FD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8ABB0A-50AB-4AE1-99B3-4E7A4A1F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A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6A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6A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6A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5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nie</dc:creator>
  <cp:keywords/>
  <dc:description/>
  <cp:lastModifiedBy>聂丹〖1〗</cp:lastModifiedBy>
  <cp:revision>8</cp:revision>
  <dcterms:created xsi:type="dcterms:W3CDTF">2018-05-05T08:01:00Z</dcterms:created>
  <dcterms:modified xsi:type="dcterms:W3CDTF">2018-11-27T06:37:00Z</dcterms:modified>
</cp:coreProperties>
</file>