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DA6" w:rsidRPr="00B70741" w:rsidRDefault="004B05EA" w:rsidP="00187DA6">
      <w:pPr>
        <w:tabs>
          <w:tab w:val="clear" w:pos="284"/>
          <w:tab w:val="clear" w:pos="1701"/>
        </w:tabs>
        <w:spacing w:after="200" w:line="276" w:lineRule="auto"/>
        <w:rPr>
          <w:rFonts w:asciiTheme="minorHAnsi" w:hAnsiTheme="minorHAnsi" w:cs="Arial"/>
          <w:bCs/>
          <w:iCs/>
          <w:sz w:val="20"/>
          <w:szCs w:val="20"/>
          <w:lang w:val="en-GB"/>
        </w:rPr>
      </w:pPr>
      <w:r>
        <w:rPr>
          <w:rFonts w:asciiTheme="minorHAnsi" w:hAnsiTheme="minorHAnsi" w:cs="Arial"/>
          <w:b/>
          <w:bCs/>
          <w:iCs/>
          <w:sz w:val="20"/>
          <w:szCs w:val="20"/>
          <w:lang w:val="en-GB"/>
        </w:rPr>
        <w:t xml:space="preserve">Additional file </w:t>
      </w:r>
      <w:r w:rsidR="00931F65">
        <w:rPr>
          <w:rFonts w:asciiTheme="minorHAnsi" w:hAnsiTheme="minorHAnsi" w:cs="Arial"/>
          <w:b/>
          <w:bCs/>
          <w:iCs/>
          <w:sz w:val="20"/>
          <w:szCs w:val="20"/>
          <w:lang w:val="en-GB"/>
        </w:rPr>
        <w:t>1</w:t>
      </w:r>
      <w:bookmarkStart w:id="0" w:name="_GoBack"/>
      <w:bookmarkEnd w:id="0"/>
    </w:p>
    <w:p w:rsidR="00187DA6" w:rsidRPr="00B70741" w:rsidRDefault="00187DA6" w:rsidP="00187DA6">
      <w:pPr>
        <w:tabs>
          <w:tab w:val="clear" w:pos="284"/>
          <w:tab w:val="clear" w:pos="1701"/>
        </w:tabs>
        <w:spacing w:line="360" w:lineRule="auto"/>
        <w:outlineLvl w:val="3"/>
        <w:rPr>
          <w:rFonts w:asciiTheme="minorHAnsi" w:hAnsiTheme="minorHAnsi" w:cs="Arial"/>
          <w:b/>
          <w:bCs/>
          <w:iCs/>
          <w:sz w:val="20"/>
          <w:szCs w:val="20"/>
          <w:lang w:val="en-GB"/>
        </w:rPr>
      </w:pPr>
      <w:r w:rsidRPr="00B70741">
        <w:rPr>
          <w:rFonts w:asciiTheme="minorHAnsi" w:hAnsiTheme="minorHAnsi" w:cs="Arial"/>
          <w:b/>
          <w:bCs/>
          <w:iCs/>
          <w:sz w:val="20"/>
          <w:szCs w:val="20"/>
          <w:lang w:val="en-GB"/>
        </w:rPr>
        <w:t>Inclusion criteria</w:t>
      </w:r>
    </w:p>
    <w:p w:rsidR="00187DA6" w:rsidRPr="00B70741" w:rsidRDefault="00187DA6" w:rsidP="00187DA6">
      <w:pPr>
        <w:spacing w:line="360" w:lineRule="auto"/>
        <w:rPr>
          <w:rFonts w:asciiTheme="minorHAnsi" w:hAnsiTheme="minorHAnsi"/>
          <w:sz w:val="20"/>
          <w:szCs w:val="20"/>
          <w:lang w:val="en-GB"/>
        </w:rPr>
      </w:pPr>
      <w:r w:rsidRPr="00B70741">
        <w:rPr>
          <w:rFonts w:asciiTheme="minorHAnsi" w:hAnsiTheme="minorHAnsi"/>
          <w:sz w:val="20"/>
          <w:szCs w:val="20"/>
          <w:lang w:val="en-GB"/>
        </w:rPr>
        <w:t>In order to be eligible for participation in this study, a patient must meet all following criteria:</w:t>
      </w:r>
    </w:p>
    <w:p w:rsidR="00187DA6" w:rsidRPr="00B70741" w:rsidRDefault="00187DA6" w:rsidP="00187DA6">
      <w:pPr>
        <w:pStyle w:val="ListParagraph"/>
        <w:numPr>
          <w:ilvl w:val="0"/>
          <w:numId w:val="1"/>
        </w:numPr>
        <w:spacing w:line="360" w:lineRule="auto"/>
        <w:rPr>
          <w:rFonts w:asciiTheme="minorHAnsi" w:hAnsiTheme="minorHAnsi" w:cs="Calibri"/>
          <w:sz w:val="20"/>
          <w:szCs w:val="20"/>
          <w:lang w:val="en-GB"/>
        </w:rPr>
      </w:pPr>
      <w:r w:rsidRPr="00B70741">
        <w:rPr>
          <w:rFonts w:asciiTheme="minorHAnsi" w:hAnsiTheme="minorHAnsi" w:cs="Calibri"/>
          <w:sz w:val="20"/>
          <w:szCs w:val="20"/>
          <w:lang w:val="en-GB"/>
        </w:rPr>
        <w:t>Age ≥ 18 years</w:t>
      </w:r>
      <w:r w:rsidR="00C96180" w:rsidRPr="00B70741">
        <w:rPr>
          <w:rFonts w:asciiTheme="minorHAnsi" w:hAnsiTheme="minorHAnsi" w:cs="Calibri"/>
          <w:sz w:val="20"/>
          <w:szCs w:val="20"/>
          <w:lang w:val="en-GB"/>
        </w:rPr>
        <w:t>.</w:t>
      </w:r>
    </w:p>
    <w:p w:rsidR="00187DA6" w:rsidRPr="00B70741" w:rsidRDefault="00187DA6" w:rsidP="00187DA6">
      <w:pPr>
        <w:pStyle w:val="ListParagraph"/>
        <w:numPr>
          <w:ilvl w:val="0"/>
          <w:numId w:val="1"/>
        </w:numPr>
        <w:spacing w:line="360" w:lineRule="auto"/>
        <w:rPr>
          <w:rFonts w:asciiTheme="minorHAnsi" w:hAnsiTheme="minorHAnsi" w:cs="Calibri"/>
          <w:sz w:val="20"/>
          <w:szCs w:val="20"/>
          <w:lang w:val="en-GB"/>
        </w:rPr>
      </w:pPr>
      <w:r w:rsidRPr="00B70741">
        <w:rPr>
          <w:rFonts w:asciiTheme="minorHAnsi" w:hAnsiTheme="minorHAnsi" w:cs="Calibri"/>
          <w:sz w:val="20"/>
          <w:szCs w:val="20"/>
          <w:lang w:val="en-GB"/>
        </w:rPr>
        <w:t>Biopsy proven primary adenocarcinoma (or undifferentiated carcinoma) of the stomach.</w:t>
      </w:r>
      <w:r w:rsidRPr="00B70741">
        <w:rPr>
          <w:rFonts w:asciiTheme="minorHAnsi" w:hAnsiTheme="minorHAnsi" w:cs="Calibri"/>
          <w:sz w:val="20"/>
          <w:szCs w:val="20"/>
          <w:lang w:val="en-GB"/>
        </w:rPr>
        <w:br/>
        <w:t>Including tumours at the oesophagogastric junction provided that the bulk of the tumour is located in the stomach, and, the intended surgical treatment is a gastric resection and not an oesophagectomy. A high intra-thoracic anastomosis is allowed, but not if a thoracotomy is necessary.</w:t>
      </w:r>
    </w:p>
    <w:p w:rsidR="00187DA6" w:rsidRPr="00B70741" w:rsidRDefault="00187DA6" w:rsidP="00187DA6">
      <w:pPr>
        <w:pStyle w:val="ListParagraph"/>
        <w:numPr>
          <w:ilvl w:val="0"/>
          <w:numId w:val="1"/>
        </w:numPr>
        <w:spacing w:line="360" w:lineRule="auto"/>
        <w:rPr>
          <w:rFonts w:asciiTheme="minorHAnsi" w:hAnsiTheme="minorHAnsi" w:cs="Calibri"/>
          <w:sz w:val="20"/>
          <w:szCs w:val="20"/>
          <w:lang w:val="en-GB"/>
        </w:rPr>
      </w:pPr>
      <w:r w:rsidRPr="00B70741">
        <w:rPr>
          <w:rFonts w:asciiTheme="minorHAnsi" w:hAnsiTheme="minorHAnsi" w:cs="Calibri"/>
          <w:sz w:val="20"/>
          <w:szCs w:val="20"/>
          <w:lang w:val="en-GB"/>
        </w:rPr>
        <w:t xml:space="preserve">cT3-cT4 tumour (TNM classification, </w:t>
      </w:r>
      <w:r w:rsidRPr="00B70741">
        <w:rPr>
          <w:rFonts w:asciiTheme="minorHAnsi" w:hAnsiTheme="minorHAnsi"/>
          <w:sz w:val="20"/>
          <w:szCs w:val="20"/>
          <w:lang w:val="en-GB"/>
        </w:rPr>
        <w:t>7th edition</w:t>
      </w:r>
      <w:r w:rsidR="004F4E97" w:rsidRPr="00B70741">
        <w:rPr>
          <w:rFonts w:asciiTheme="minorHAnsi" w:hAnsiTheme="minorHAnsi"/>
          <w:sz w:val="20"/>
          <w:szCs w:val="20"/>
          <w:lang w:val="en-GB"/>
        </w:rPr>
        <w:t xml:space="preserve">) </w:t>
      </w:r>
      <w:r w:rsidRPr="00B70741">
        <w:rPr>
          <w:rFonts w:asciiTheme="minorHAnsi" w:hAnsiTheme="minorHAnsi"/>
          <w:sz w:val="20"/>
          <w:szCs w:val="20"/>
          <w:lang w:val="en-GB"/>
        </w:rPr>
        <w:t>considered to be resectable (including lymph nodes)</w:t>
      </w:r>
      <w:r w:rsidR="00C96180" w:rsidRPr="00B70741">
        <w:rPr>
          <w:rFonts w:asciiTheme="minorHAnsi" w:hAnsiTheme="minorHAnsi"/>
          <w:sz w:val="20"/>
          <w:szCs w:val="20"/>
          <w:lang w:val="en-GB"/>
        </w:rPr>
        <w:t>.</w:t>
      </w:r>
    </w:p>
    <w:p w:rsidR="00187DA6" w:rsidRPr="00B70741" w:rsidRDefault="00187DA6" w:rsidP="00187DA6">
      <w:pPr>
        <w:pStyle w:val="ListParagraph"/>
        <w:numPr>
          <w:ilvl w:val="0"/>
          <w:numId w:val="1"/>
        </w:numPr>
        <w:spacing w:line="360" w:lineRule="auto"/>
        <w:rPr>
          <w:rFonts w:asciiTheme="minorHAnsi" w:hAnsiTheme="minorHAnsi" w:cs="Calibri"/>
          <w:sz w:val="20"/>
          <w:szCs w:val="20"/>
          <w:lang w:val="en-GB"/>
        </w:rPr>
      </w:pPr>
      <w:r w:rsidRPr="00B70741">
        <w:rPr>
          <w:rFonts w:asciiTheme="minorHAnsi" w:hAnsiTheme="minorHAnsi" w:cs="Calibri"/>
          <w:sz w:val="20"/>
          <w:szCs w:val="20"/>
          <w:lang w:val="en-GB"/>
        </w:rPr>
        <w:t>Limited peritone</w:t>
      </w:r>
      <w:r w:rsidR="004B05EA">
        <w:rPr>
          <w:rFonts w:asciiTheme="minorHAnsi" w:hAnsiTheme="minorHAnsi" w:cs="Calibri"/>
          <w:sz w:val="20"/>
          <w:szCs w:val="20"/>
          <w:lang w:val="en-GB"/>
        </w:rPr>
        <w:t>al carcinomatosis (PCI &lt;7) and/</w:t>
      </w:r>
      <w:r w:rsidRPr="00B70741">
        <w:rPr>
          <w:rFonts w:asciiTheme="minorHAnsi" w:hAnsiTheme="minorHAnsi" w:cs="Calibri"/>
          <w:sz w:val="20"/>
          <w:szCs w:val="20"/>
          <w:lang w:val="en-GB"/>
        </w:rPr>
        <w:t xml:space="preserve">or tumour positive peritoneal cytology </w:t>
      </w:r>
      <w:r w:rsidRPr="00B70741">
        <w:rPr>
          <w:rFonts w:asciiTheme="minorHAnsi" w:hAnsiTheme="minorHAnsi"/>
          <w:sz w:val="20"/>
          <w:szCs w:val="20"/>
          <w:lang w:val="en-GB"/>
        </w:rPr>
        <w:t xml:space="preserve">confirmed by laparoscopy or laparotomy </w:t>
      </w:r>
      <w:r w:rsidRPr="00B70741">
        <w:rPr>
          <w:rFonts w:asciiTheme="minorHAnsi" w:hAnsiTheme="minorHAnsi" w:cs="Calibri"/>
          <w:sz w:val="20"/>
          <w:szCs w:val="20"/>
          <w:lang w:val="en-GB"/>
        </w:rPr>
        <w:t xml:space="preserve">and </w:t>
      </w:r>
      <w:r w:rsidRPr="00B70741">
        <w:rPr>
          <w:rFonts w:asciiTheme="minorHAnsi" w:hAnsiTheme="minorHAnsi"/>
          <w:sz w:val="20"/>
          <w:szCs w:val="20"/>
          <w:lang w:val="en-GB"/>
        </w:rPr>
        <w:t>proven by pathological examination</w:t>
      </w:r>
      <w:r w:rsidR="00C96180" w:rsidRPr="00B70741">
        <w:rPr>
          <w:rFonts w:asciiTheme="minorHAnsi" w:hAnsiTheme="minorHAnsi"/>
          <w:sz w:val="20"/>
          <w:szCs w:val="20"/>
          <w:lang w:val="en-GB"/>
        </w:rPr>
        <w:t>.</w:t>
      </w:r>
    </w:p>
    <w:p w:rsidR="00187DA6" w:rsidRPr="00B70741" w:rsidRDefault="00187DA6" w:rsidP="00187DA6">
      <w:pPr>
        <w:pStyle w:val="ListParagraph"/>
        <w:numPr>
          <w:ilvl w:val="0"/>
          <w:numId w:val="1"/>
        </w:numPr>
        <w:spacing w:line="360" w:lineRule="auto"/>
        <w:rPr>
          <w:rFonts w:asciiTheme="minorHAnsi" w:hAnsiTheme="minorHAnsi" w:cs="Calibri"/>
          <w:sz w:val="20"/>
          <w:szCs w:val="20"/>
          <w:lang w:val="en-GB"/>
        </w:rPr>
      </w:pPr>
      <w:r w:rsidRPr="00B70741">
        <w:rPr>
          <w:rFonts w:asciiTheme="minorHAnsi" w:hAnsiTheme="minorHAnsi" w:cs="Calibri"/>
          <w:sz w:val="20"/>
          <w:szCs w:val="20"/>
          <w:lang w:val="en-GB"/>
        </w:rPr>
        <w:t>Treatment with systemic chemotherapy, with the latest course ending within 8 weeks prior to inclusion. All currently standard chemo</w:t>
      </w:r>
      <w:r w:rsidR="00C96180" w:rsidRPr="00B70741">
        <w:rPr>
          <w:rFonts w:asciiTheme="minorHAnsi" w:hAnsiTheme="minorHAnsi" w:cs="Calibri"/>
          <w:sz w:val="20"/>
          <w:szCs w:val="20"/>
          <w:lang w:val="en-GB"/>
        </w:rPr>
        <w:t>therapy regimens are acceptable.</w:t>
      </w:r>
    </w:p>
    <w:p w:rsidR="00187DA6" w:rsidRPr="00B70741" w:rsidRDefault="00187DA6" w:rsidP="00187DA6">
      <w:pPr>
        <w:pStyle w:val="ListParagraph"/>
        <w:numPr>
          <w:ilvl w:val="0"/>
          <w:numId w:val="1"/>
        </w:numPr>
        <w:spacing w:line="360" w:lineRule="auto"/>
        <w:rPr>
          <w:rFonts w:asciiTheme="minorHAnsi" w:hAnsiTheme="minorHAnsi" w:cs="Calibri"/>
          <w:sz w:val="20"/>
          <w:szCs w:val="20"/>
          <w:lang w:val="en-GB"/>
        </w:rPr>
      </w:pPr>
      <w:r w:rsidRPr="00B70741">
        <w:rPr>
          <w:rFonts w:asciiTheme="minorHAnsi" w:hAnsiTheme="minorHAnsi" w:cs="Calibri"/>
          <w:sz w:val="20"/>
          <w:szCs w:val="20"/>
          <w:lang w:val="en-GB"/>
        </w:rPr>
        <w:t>Absence of disease progression during systemic chemotherapy (prior to inclusion)</w:t>
      </w:r>
      <w:r w:rsidR="00C96180" w:rsidRPr="00B70741">
        <w:rPr>
          <w:rFonts w:asciiTheme="minorHAnsi" w:hAnsiTheme="minorHAnsi" w:cs="Calibri"/>
          <w:sz w:val="20"/>
          <w:szCs w:val="20"/>
          <w:lang w:val="en-GB"/>
        </w:rPr>
        <w:t>.</w:t>
      </w:r>
    </w:p>
    <w:p w:rsidR="00187DA6" w:rsidRPr="00B70741" w:rsidRDefault="006146AE" w:rsidP="00187DA6">
      <w:pPr>
        <w:numPr>
          <w:ilvl w:val="0"/>
          <w:numId w:val="1"/>
        </w:numPr>
        <w:spacing w:line="360" w:lineRule="auto"/>
        <w:rPr>
          <w:rFonts w:asciiTheme="minorHAnsi" w:hAnsiTheme="minorHAnsi"/>
          <w:sz w:val="20"/>
          <w:szCs w:val="20"/>
          <w:lang w:val="en-GB"/>
        </w:rPr>
      </w:pPr>
      <w:r>
        <w:rPr>
          <w:rFonts w:asciiTheme="minorHAnsi" w:hAnsiTheme="minorHAnsi"/>
          <w:bCs/>
          <w:sz w:val="20"/>
          <w:szCs w:val="20"/>
          <w:lang w:val="en-GB"/>
        </w:rPr>
        <w:t>World Health Organisation</w:t>
      </w:r>
      <w:r w:rsidR="00187DA6" w:rsidRPr="00B70741">
        <w:rPr>
          <w:rFonts w:asciiTheme="minorHAnsi" w:hAnsiTheme="minorHAnsi"/>
          <w:bCs/>
          <w:sz w:val="20"/>
          <w:szCs w:val="20"/>
          <w:lang w:val="en-GB"/>
        </w:rPr>
        <w:t xml:space="preserve"> performance status 0-2</w:t>
      </w:r>
      <w:r w:rsidR="00C96180" w:rsidRPr="00B70741">
        <w:rPr>
          <w:rFonts w:asciiTheme="minorHAnsi" w:hAnsiTheme="minorHAnsi"/>
          <w:bCs/>
          <w:sz w:val="20"/>
          <w:szCs w:val="20"/>
          <w:lang w:val="en-GB"/>
        </w:rPr>
        <w:t>.</w:t>
      </w:r>
    </w:p>
    <w:p w:rsidR="00187DA6" w:rsidRPr="00B70741" w:rsidRDefault="00187DA6" w:rsidP="00187DA6">
      <w:pPr>
        <w:numPr>
          <w:ilvl w:val="0"/>
          <w:numId w:val="1"/>
        </w:numPr>
        <w:spacing w:line="360" w:lineRule="auto"/>
        <w:rPr>
          <w:rFonts w:asciiTheme="minorHAnsi" w:hAnsiTheme="minorHAnsi"/>
          <w:sz w:val="20"/>
          <w:szCs w:val="20"/>
          <w:lang w:val="en-GB"/>
        </w:rPr>
      </w:pPr>
      <w:r w:rsidRPr="00B70741">
        <w:rPr>
          <w:rFonts w:asciiTheme="minorHAnsi" w:hAnsiTheme="minorHAnsi" w:cs="Calibri"/>
          <w:sz w:val="20"/>
          <w:szCs w:val="20"/>
          <w:lang w:val="en-GB"/>
        </w:rPr>
        <w:t>Adequate bone marrow, hepatic and renal function. Minimally acceptable laboratory values at start of the study inclusion:</w:t>
      </w:r>
    </w:p>
    <w:p w:rsidR="00187DA6" w:rsidRPr="00B70741" w:rsidRDefault="00187DA6" w:rsidP="00187DA6">
      <w:pPr>
        <w:numPr>
          <w:ilvl w:val="1"/>
          <w:numId w:val="1"/>
        </w:numPr>
        <w:spacing w:line="360" w:lineRule="auto"/>
        <w:rPr>
          <w:rFonts w:asciiTheme="minorHAnsi" w:hAnsiTheme="minorHAnsi"/>
          <w:sz w:val="20"/>
          <w:szCs w:val="20"/>
          <w:lang w:val="en-GB"/>
        </w:rPr>
      </w:pPr>
      <w:r w:rsidRPr="00B70741">
        <w:rPr>
          <w:rFonts w:asciiTheme="minorHAnsi" w:hAnsiTheme="minorHAnsi" w:cs="Calibri"/>
          <w:sz w:val="20"/>
          <w:szCs w:val="20"/>
          <w:lang w:val="en-GB"/>
        </w:rPr>
        <w:t>White blood cell count (WBC) ≥3.0 x 10</w:t>
      </w:r>
      <w:r w:rsidRPr="00B70741">
        <w:rPr>
          <w:rFonts w:asciiTheme="minorHAnsi" w:hAnsiTheme="minorHAnsi" w:cs="Calibri"/>
          <w:sz w:val="20"/>
          <w:szCs w:val="20"/>
          <w:vertAlign w:val="superscript"/>
          <w:lang w:val="en-GB"/>
        </w:rPr>
        <w:t>9</w:t>
      </w:r>
      <w:r w:rsidRPr="00B70741">
        <w:rPr>
          <w:rFonts w:asciiTheme="minorHAnsi" w:hAnsiTheme="minorHAnsi" w:cs="Calibri"/>
          <w:sz w:val="20"/>
          <w:szCs w:val="20"/>
          <w:lang w:val="en-GB"/>
        </w:rPr>
        <w:t xml:space="preserve"> /L</w:t>
      </w:r>
    </w:p>
    <w:p w:rsidR="00187DA6" w:rsidRPr="00B70741" w:rsidRDefault="00187DA6" w:rsidP="00187DA6">
      <w:pPr>
        <w:numPr>
          <w:ilvl w:val="1"/>
          <w:numId w:val="1"/>
        </w:numPr>
        <w:spacing w:line="360" w:lineRule="auto"/>
        <w:rPr>
          <w:rFonts w:asciiTheme="minorHAnsi" w:hAnsiTheme="minorHAnsi"/>
          <w:sz w:val="20"/>
          <w:szCs w:val="20"/>
          <w:lang w:val="en-GB"/>
        </w:rPr>
      </w:pPr>
      <w:r w:rsidRPr="00B70741">
        <w:rPr>
          <w:rFonts w:asciiTheme="minorHAnsi" w:hAnsiTheme="minorHAnsi" w:cs="Calibri"/>
          <w:sz w:val="20"/>
          <w:szCs w:val="20"/>
          <w:lang w:val="en-GB"/>
        </w:rPr>
        <w:t>Platelet count ≥ 100 x 10</w:t>
      </w:r>
      <w:r w:rsidRPr="00B70741">
        <w:rPr>
          <w:rFonts w:asciiTheme="minorHAnsi" w:hAnsiTheme="minorHAnsi" w:cs="Calibri"/>
          <w:sz w:val="20"/>
          <w:szCs w:val="20"/>
          <w:vertAlign w:val="superscript"/>
          <w:lang w:val="en-GB"/>
        </w:rPr>
        <w:t>9</w:t>
      </w:r>
      <w:r w:rsidRPr="00B70741">
        <w:rPr>
          <w:rFonts w:asciiTheme="minorHAnsi" w:hAnsiTheme="minorHAnsi" w:cs="Calibri"/>
          <w:sz w:val="20"/>
          <w:szCs w:val="20"/>
          <w:lang w:val="en-GB"/>
        </w:rPr>
        <w:t xml:space="preserve"> /L</w:t>
      </w:r>
    </w:p>
    <w:p w:rsidR="00187DA6" w:rsidRPr="00B70741" w:rsidRDefault="00187DA6" w:rsidP="00187DA6">
      <w:pPr>
        <w:numPr>
          <w:ilvl w:val="1"/>
          <w:numId w:val="1"/>
        </w:numPr>
        <w:spacing w:line="360" w:lineRule="auto"/>
        <w:rPr>
          <w:rFonts w:asciiTheme="minorHAnsi" w:hAnsiTheme="minorHAnsi"/>
          <w:sz w:val="20"/>
          <w:szCs w:val="20"/>
          <w:lang w:val="en-GB"/>
        </w:rPr>
      </w:pPr>
      <w:r w:rsidRPr="00B70741">
        <w:rPr>
          <w:rFonts w:asciiTheme="minorHAnsi" w:hAnsiTheme="minorHAnsi" w:cs="Calibri"/>
          <w:sz w:val="20"/>
          <w:szCs w:val="20"/>
          <w:lang w:val="en-GB"/>
        </w:rPr>
        <w:t>Serum bilirubin ≤ 1.5 x ULN, and ALAT and ASAT ≤ 2.5 x ULN</w:t>
      </w:r>
    </w:p>
    <w:p w:rsidR="00187DA6" w:rsidRPr="00B70741" w:rsidRDefault="00187DA6" w:rsidP="00187DA6">
      <w:pPr>
        <w:numPr>
          <w:ilvl w:val="1"/>
          <w:numId w:val="1"/>
        </w:numPr>
        <w:spacing w:line="360" w:lineRule="auto"/>
        <w:rPr>
          <w:rFonts w:asciiTheme="minorHAnsi" w:hAnsiTheme="minorHAnsi"/>
          <w:sz w:val="20"/>
          <w:szCs w:val="20"/>
          <w:lang w:val="en-GB"/>
        </w:rPr>
      </w:pPr>
      <w:r w:rsidRPr="00B70741">
        <w:rPr>
          <w:rFonts w:asciiTheme="minorHAnsi" w:hAnsiTheme="minorHAnsi" w:cs="Calibri"/>
          <w:sz w:val="20"/>
          <w:szCs w:val="20"/>
          <w:lang w:val="en-GB"/>
        </w:rPr>
        <w:t>Creatinine clearance ≥ 50 ml/min (measured or calculated by Cockcroft-Gault formula)</w:t>
      </w:r>
    </w:p>
    <w:p w:rsidR="00187DA6" w:rsidRPr="00B70741" w:rsidRDefault="00187DA6" w:rsidP="00187DA6">
      <w:pPr>
        <w:numPr>
          <w:ilvl w:val="0"/>
          <w:numId w:val="1"/>
        </w:numPr>
        <w:spacing w:line="360" w:lineRule="auto"/>
        <w:rPr>
          <w:rFonts w:asciiTheme="minorHAnsi" w:hAnsiTheme="minorHAnsi"/>
          <w:sz w:val="20"/>
          <w:szCs w:val="20"/>
          <w:lang w:val="en-GB"/>
        </w:rPr>
      </w:pPr>
      <w:r w:rsidRPr="00B70741">
        <w:rPr>
          <w:rFonts w:asciiTheme="minorHAnsi" w:hAnsiTheme="minorHAnsi" w:cs="Calibri"/>
          <w:sz w:val="20"/>
          <w:szCs w:val="20"/>
          <w:lang w:val="en-GB"/>
        </w:rPr>
        <w:t>For female patients who are not sterilised or in menopause (i.e., amenorrhea ≥1 year if age ≥60 years, or ≥2 years if age &lt;60 years):</w:t>
      </w:r>
    </w:p>
    <w:p w:rsidR="00187DA6" w:rsidRPr="00B70741" w:rsidRDefault="00187DA6" w:rsidP="00187DA6">
      <w:pPr>
        <w:numPr>
          <w:ilvl w:val="1"/>
          <w:numId w:val="1"/>
        </w:numPr>
        <w:spacing w:line="360" w:lineRule="auto"/>
        <w:rPr>
          <w:rFonts w:asciiTheme="minorHAnsi" w:hAnsiTheme="minorHAnsi"/>
          <w:sz w:val="20"/>
          <w:szCs w:val="20"/>
          <w:lang w:val="en-GB"/>
        </w:rPr>
      </w:pPr>
      <w:r w:rsidRPr="00B70741">
        <w:rPr>
          <w:rFonts w:asciiTheme="minorHAnsi" w:hAnsiTheme="minorHAnsi" w:cs="Calibri"/>
          <w:sz w:val="20"/>
          <w:szCs w:val="20"/>
          <w:lang w:val="en-GB"/>
        </w:rPr>
        <w:t>negative pregnancy test (urine/serum)</w:t>
      </w:r>
    </w:p>
    <w:p w:rsidR="00187DA6" w:rsidRPr="00B70741" w:rsidRDefault="00187DA6" w:rsidP="00187DA6">
      <w:pPr>
        <w:numPr>
          <w:ilvl w:val="1"/>
          <w:numId w:val="1"/>
        </w:numPr>
        <w:spacing w:line="360" w:lineRule="auto"/>
        <w:rPr>
          <w:rFonts w:asciiTheme="minorHAnsi" w:hAnsiTheme="minorHAnsi"/>
          <w:sz w:val="20"/>
          <w:szCs w:val="20"/>
          <w:lang w:val="en-GB"/>
        </w:rPr>
      </w:pPr>
      <w:r w:rsidRPr="00B70741">
        <w:rPr>
          <w:rFonts w:asciiTheme="minorHAnsi" w:hAnsiTheme="minorHAnsi"/>
          <w:sz w:val="20"/>
          <w:szCs w:val="20"/>
          <w:lang w:val="en-GB"/>
        </w:rPr>
        <w:t>no b</w:t>
      </w:r>
      <w:r w:rsidRPr="00B70741">
        <w:rPr>
          <w:rFonts w:asciiTheme="minorHAnsi" w:hAnsiTheme="minorHAnsi"/>
          <w:bCs/>
          <w:sz w:val="20"/>
          <w:szCs w:val="20"/>
          <w:lang w:val="en-GB"/>
        </w:rPr>
        <w:t>reast feeding or active pregnancy ambition</w:t>
      </w:r>
    </w:p>
    <w:p w:rsidR="00187DA6" w:rsidRPr="00B70741" w:rsidRDefault="00187DA6" w:rsidP="00187DA6">
      <w:pPr>
        <w:numPr>
          <w:ilvl w:val="1"/>
          <w:numId w:val="1"/>
        </w:numPr>
        <w:spacing w:line="360" w:lineRule="auto"/>
        <w:rPr>
          <w:rFonts w:asciiTheme="minorHAnsi" w:hAnsiTheme="minorHAnsi"/>
          <w:sz w:val="20"/>
          <w:szCs w:val="20"/>
          <w:lang w:val="en-GB"/>
        </w:rPr>
      </w:pPr>
      <w:r w:rsidRPr="00B70741">
        <w:rPr>
          <w:rFonts w:asciiTheme="minorHAnsi" w:hAnsiTheme="minorHAnsi"/>
          <w:bCs/>
          <w:sz w:val="20"/>
          <w:szCs w:val="20"/>
          <w:lang w:val="en-GB"/>
        </w:rPr>
        <w:t xml:space="preserve">reliable contraceptive methods </w:t>
      </w:r>
    </w:p>
    <w:p w:rsidR="00187DA6" w:rsidRPr="00B70741" w:rsidRDefault="00187DA6" w:rsidP="00187DA6">
      <w:pPr>
        <w:pStyle w:val="ListParagraph"/>
        <w:numPr>
          <w:ilvl w:val="0"/>
          <w:numId w:val="1"/>
        </w:numPr>
        <w:spacing w:line="360" w:lineRule="auto"/>
        <w:rPr>
          <w:rFonts w:asciiTheme="minorHAnsi" w:hAnsiTheme="minorHAnsi" w:cs="Calibri"/>
          <w:sz w:val="20"/>
          <w:szCs w:val="20"/>
          <w:lang w:val="en-GB"/>
        </w:rPr>
      </w:pPr>
      <w:r w:rsidRPr="00B70741">
        <w:rPr>
          <w:rFonts w:asciiTheme="minorHAnsi" w:hAnsiTheme="minorHAnsi" w:cs="Calibri"/>
          <w:sz w:val="20"/>
          <w:szCs w:val="20"/>
          <w:lang w:val="en-GB"/>
        </w:rPr>
        <w:t>Signed informed consent</w:t>
      </w:r>
      <w:r w:rsidR="00C96180" w:rsidRPr="00B70741">
        <w:rPr>
          <w:rFonts w:asciiTheme="minorHAnsi" w:hAnsiTheme="minorHAnsi" w:cs="Calibri"/>
          <w:sz w:val="20"/>
          <w:szCs w:val="20"/>
          <w:lang w:val="en-GB"/>
        </w:rPr>
        <w:t>.</w:t>
      </w:r>
    </w:p>
    <w:p w:rsidR="00187DA6" w:rsidRPr="00B70741" w:rsidRDefault="00187DA6" w:rsidP="00187DA6">
      <w:pPr>
        <w:pStyle w:val="Heading2"/>
        <w:numPr>
          <w:ilvl w:val="0"/>
          <w:numId w:val="0"/>
        </w:numPr>
        <w:tabs>
          <w:tab w:val="clear" w:pos="1701"/>
        </w:tabs>
        <w:spacing w:before="240" w:line="360" w:lineRule="auto"/>
        <w:rPr>
          <w:rFonts w:asciiTheme="minorHAnsi" w:hAnsiTheme="minorHAnsi"/>
          <w:sz w:val="20"/>
          <w:szCs w:val="20"/>
          <w:lang w:val="en-GB"/>
        </w:rPr>
      </w:pPr>
      <w:bookmarkStart w:id="1" w:name="_Toc438557036"/>
      <w:bookmarkStart w:id="2" w:name="_Toc486859988"/>
      <w:r w:rsidRPr="00B70741">
        <w:rPr>
          <w:rFonts w:asciiTheme="minorHAnsi" w:hAnsiTheme="minorHAnsi"/>
          <w:sz w:val="20"/>
          <w:szCs w:val="20"/>
          <w:lang w:val="en-GB"/>
        </w:rPr>
        <w:t>Exclusion criteria</w:t>
      </w:r>
      <w:bookmarkEnd w:id="1"/>
      <w:bookmarkEnd w:id="2"/>
    </w:p>
    <w:p w:rsidR="00187DA6" w:rsidRPr="00B70741" w:rsidRDefault="00187DA6" w:rsidP="004876D9">
      <w:pPr>
        <w:spacing w:line="360" w:lineRule="auto"/>
        <w:rPr>
          <w:rFonts w:asciiTheme="minorHAnsi" w:hAnsiTheme="minorHAnsi"/>
          <w:sz w:val="20"/>
          <w:szCs w:val="20"/>
          <w:lang w:val="en-GB"/>
        </w:rPr>
      </w:pPr>
      <w:r w:rsidRPr="00B70741">
        <w:rPr>
          <w:rFonts w:asciiTheme="minorHAnsi" w:hAnsiTheme="minorHAnsi"/>
          <w:sz w:val="20"/>
          <w:szCs w:val="20"/>
          <w:lang w:val="en-GB"/>
        </w:rPr>
        <w:t>A patient who meets any of the following criteria will be excluded from participation in this study:</w:t>
      </w:r>
    </w:p>
    <w:p w:rsidR="00187DA6" w:rsidRPr="00B70741" w:rsidRDefault="00187DA6" w:rsidP="00187DA6">
      <w:pPr>
        <w:numPr>
          <w:ilvl w:val="0"/>
          <w:numId w:val="2"/>
        </w:numPr>
        <w:spacing w:line="360" w:lineRule="auto"/>
        <w:rPr>
          <w:rFonts w:asciiTheme="minorHAnsi" w:hAnsiTheme="minorHAnsi"/>
          <w:sz w:val="20"/>
          <w:szCs w:val="20"/>
          <w:lang w:val="en-GB"/>
        </w:rPr>
      </w:pPr>
      <w:r w:rsidRPr="00B70741">
        <w:rPr>
          <w:rFonts w:asciiTheme="minorHAnsi" w:hAnsiTheme="minorHAnsi"/>
          <w:sz w:val="20"/>
          <w:szCs w:val="20"/>
          <w:lang w:val="en-GB"/>
        </w:rPr>
        <w:t>Distant metastases (e.g., liver, lung, para-aortic lymph nodes; i.e., stations 14 and 16) or small bowel dissemination</w:t>
      </w:r>
      <w:r w:rsidR="00C96180" w:rsidRPr="00B70741">
        <w:rPr>
          <w:rFonts w:asciiTheme="minorHAnsi" w:hAnsiTheme="minorHAnsi"/>
          <w:sz w:val="20"/>
          <w:szCs w:val="20"/>
          <w:lang w:val="en-GB"/>
        </w:rPr>
        <w:t>.</w:t>
      </w:r>
    </w:p>
    <w:p w:rsidR="00187DA6" w:rsidRPr="00B70741" w:rsidRDefault="00187DA6" w:rsidP="00187DA6">
      <w:pPr>
        <w:numPr>
          <w:ilvl w:val="0"/>
          <w:numId w:val="2"/>
        </w:numPr>
        <w:spacing w:line="360" w:lineRule="auto"/>
        <w:ind w:left="714" w:hanging="357"/>
        <w:rPr>
          <w:rFonts w:asciiTheme="minorHAnsi" w:hAnsiTheme="minorHAnsi"/>
          <w:sz w:val="20"/>
          <w:szCs w:val="20"/>
          <w:lang w:val="en-GB"/>
        </w:rPr>
      </w:pPr>
      <w:r w:rsidRPr="00B70741">
        <w:rPr>
          <w:rFonts w:asciiTheme="minorHAnsi" w:hAnsiTheme="minorHAnsi"/>
          <w:sz w:val="20"/>
          <w:szCs w:val="20"/>
          <w:lang w:val="en-GB"/>
        </w:rPr>
        <w:t>Recurrent gastric cancer</w:t>
      </w:r>
      <w:r w:rsidR="00C96180" w:rsidRPr="00B70741">
        <w:rPr>
          <w:rFonts w:asciiTheme="minorHAnsi" w:hAnsiTheme="minorHAnsi"/>
          <w:sz w:val="20"/>
          <w:szCs w:val="20"/>
          <w:lang w:val="en-GB"/>
        </w:rPr>
        <w:t>.</w:t>
      </w:r>
    </w:p>
    <w:p w:rsidR="00187DA6" w:rsidRPr="00B70741" w:rsidRDefault="00187DA6" w:rsidP="00187DA6">
      <w:pPr>
        <w:numPr>
          <w:ilvl w:val="0"/>
          <w:numId w:val="2"/>
        </w:numPr>
        <w:spacing w:line="360" w:lineRule="auto"/>
        <w:ind w:left="714" w:hanging="357"/>
        <w:rPr>
          <w:rFonts w:asciiTheme="minorHAnsi" w:hAnsiTheme="minorHAnsi"/>
          <w:sz w:val="20"/>
          <w:szCs w:val="20"/>
          <w:lang w:val="en-GB"/>
        </w:rPr>
      </w:pPr>
      <w:r w:rsidRPr="00B70741">
        <w:rPr>
          <w:rFonts w:asciiTheme="minorHAnsi" w:hAnsiTheme="minorHAnsi"/>
          <w:sz w:val="20"/>
          <w:szCs w:val="20"/>
          <w:lang w:val="en-GB"/>
        </w:rPr>
        <w:t>Prior resection of the primary gastric tumour</w:t>
      </w:r>
      <w:r w:rsidR="00C96180" w:rsidRPr="00B70741">
        <w:rPr>
          <w:rFonts w:asciiTheme="minorHAnsi" w:hAnsiTheme="minorHAnsi"/>
          <w:sz w:val="20"/>
          <w:szCs w:val="20"/>
          <w:lang w:val="en-GB"/>
        </w:rPr>
        <w:t>.</w:t>
      </w:r>
    </w:p>
    <w:p w:rsidR="00187DA6" w:rsidRPr="00B70741" w:rsidRDefault="00187DA6" w:rsidP="00187DA6">
      <w:pPr>
        <w:numPr>
          <w:ilvl w:val="0"/>
          <w:numId w:val="2"/>
        </w:numPr>
        <w:spacing w:line="360" w:lineRule="auto"/>
        <w:ind w:left="714" w:hanging="357"/>
        <w:rPr>
          <w:rFonts w:asciiTheme="minorHAnsi" w:hAnsiTheme="minorHAnsi"/>
          <w:sz w:val="20"/>
          <w:szCs w:val="20"/>
          <w:lang w:val="en-GB"/>
        </w:rPr>
      </w:pPr>
      <w:r w:rsidRPr="00B70741">
        <w:rPr>
          <w:rFonts w:asciiTheme="minorHAnsi" w:hAnsiTheme="minorHAnsi"/>
          <w:sz w:val="20"/>
          <w:szCs w:val="20"/>
          <w:lang w:val="en-GB"/>
        </w:rPr>
        <w:t>Non-synchronous peritoneal carcinomatosis</w:t>
      </w:r>
      <w:r w:rsidR="00C96180" w:rsidRPr="00B70741">
        <w:rPr>
          <w:rFonts w:asciiTheme="minorHAnsi" w:hAnsiTheme="minorHAnsi"/>
          <w:sz w:val="20"/>
          <w:szCs w:val="20"/>
          <w:lang w:val="en-GB"/>
        </w:rPr>
        <w:t>.</w:t>
      </w:r>
    </w:p>
    <w:p w:rsidR="00187DA6" w:rsidRPr="00B70741" w:rsidRDefault="00187DA6" w:rsidP="00187DA6">
      <w:pPr>
        <w:numPr>
          <w:ilvl w:val="0"/>
          <w:numId w:val="2"/>
        </w:numPr>
        <w:spacing w:line="360" w:lineRule="auto"/>
        <w:ind w:left="714" w:hanging="357"/>
        <w:rPr>
          <w:rFonts w:asciiTheme="minorHAnsi" w:hAnsiTheme="minorHAnsi"/>
          <w:sz w:val="20"/>
          <w:szCs w:val="20"/>
          <w:lang w:val="en-GB"/>
        </w:rPr>
      </w:pPr>
      <w:r w:rsidRPr="00B70741">
        <w:rPr>
          <w:rFonts w:asciiTheme="minorHAnsi" w:hAnsiTheme="minorHAnsi"/>
          <w:sz w:val="20"/>
          <w:szCs w:val="20"/>
          <w:lang w:val="en-GB"/>
        </w:rPr>
        <w:t xml:space="preserve">Current other malignancy </w:t>
      </w:r>
      <w:r w:rsidRPr="00B70741">
        <w:rPr>
          <w:rFonts w:asciiTheme="minorHAnsi" w:hAnsiTheme="minorHAnsi"/>
          <w:bCs/>
          <w:sz w:val="20"/>
          <w:szCs w:val="20"/>
          <w:lang w:val="en-GB"/>
        </w:rPr>
        <w:t>(other than cervix carcinoma and basalioma)</w:t>
      </w:r>
      <w:r w:rsidR="00C96180" w:rsidRPr="00B70741">
        <w:rPr>
          <w:rFonts w:asciiTheme="minorHAnsi" w:hAnsiTheme="minorHAnsi"/>
          <w:bCs/>
          <w:sz w:val="20"/>
          <w:szCs w:val="20"/>
          <w:lang w:val="en-GB"/>
        </w:rPr>
        <w:t>.</w:t>
      </w:r>
      <w:r w:rsidRPr="00B70741">
        <w:rPr>
          <w:rFonts w:asciiTheme="minorHAnsi" w:hAnsiTheme="minorHAnsi"/>
          <w:bCs/>
          <w:sz w:val="20"/>
          <w:szCs w:val="20"/>
          <w:lang w:val="en-GB"/>
        </w:rPr>
        <w:t xml:space="preserve"> </w:t>
      </w:r>
    </w:p>
    <w:p w:rsidR="00187DA6" w:rsidRPr="00B70741" w:rsidRDefault="00187DA6" w:rsidP="00187DA6">
      <w:pPr>
        <w:numPr>
          <w:ilvl w:val="0"/>
          <w:numId w:val="2"/>
        </w:numPr>
        <w:spacing w:line="360" w:lineRule="auto"/>
        <w:rPr>
          <w:rFonts w:asciiTheme="minorHAnsi" w:hAnsiTheme="minorHAnsi"/>
          <w:sz w:val="20"/>
          <w:szCs w:val="20"/>
          <w:lang w:val="en-GB"/>
        </w:rPr>
      </w:pPr>
      <w:r w:rsidRPr="00B70741">
        <w:rPr>
          <w:rFonts w:asciiTheme="minorHAnsi" w:hAnsiTheme="minorHAnsi"/>
          <w:bCs/>
          <w:sz w:val="20"/>
          <w:szCs w:val="20"/>
          <w:lang w:val="en-GB"/>
        </w:rPr>
        <w:t>Uncontrolled infectious disease or known infection with Human Immunodeficiency Virus type -1 or -2</w:t>
      </w:r>
      <w:r w:rsidR="00C96180" w:rsidRPr="00B70741">
        <w:rPr>
          <w:rFonts w:asciiTheme="minorHAnsi" w:hAnsiTheme="minorHAnsi"/>
          <w:bCs/>
          <w:sz w:val="20"/>
          <w:szCs w:val="20"/>
          <w:lang w:val="en-GB"/>
        </w:rPr>
        <w:t>.</w:t>
      </w:r>
    </w:p>
    <w:p w:rsidR="00187DA6" w:rsidRPr="00B70741" w:rsidRDefault="00187DA6" w:rsidP="00187DA6">
      <w:pPr>
        <w:numPr>
          <w:ilvl w:val="0"/>
          <w:numId w:val="2"/>
        </w:numPr>
        <w:spacing w:line="360" w:lineRule="auto"/>
        <w:rPr>
          <w:rFonts w:asciiTheme="minorHAnsi" w:hAnsiTheme="minorHAnsi"/>
          <w:sz w:val="20"/>
          <w:szCs w:val="20"/>
          <w:lang w:val="en-GB"/>
        </w:rPr>
      </w:pPr>
      <w:r w:rsidRPr="00B70741">
        <w:rPr>
          <w:rFonts w:asciiTheme="minorHAnsi" w:hAnsiTheme="minorHAnsi"/>
          <w:sz w:val="20"/>
          <w:szCs w:val="20"/>
          <w:lang w:val="en-GB"/>
        </w:rPr>
        <w:t>A</w:t>
      </w:r>
      <w:r w:rsidRPr="00B70741">
        <w:rPr>
          <w:rFonts w:asciiTheme="minorHAnsi" w:hAnsiTheme="minorHAnsi"/>
          <w:bCs/>
          <w:sz w:val="20"/>
          <w:szCs w:val="20"/>
          <w:lang w:val="en-GB"/>
        </w:rPr>
        <w:t xml:space="preserve"> known history of hepatitis B or C with active viral replication</w:t>
      </w:r>
      <w:r w:rsidR="00C96180" w:rsidRPr="00B70741">
        <w:rPr>
          <w:rFonts w:asciiTheme="minorHAnsi" w:hAnsiTheme="minorHAnsi"/>
          <w:bCs/>
          <w:sz w:val="20"/>
          <w:szCs w:val="20"/>
          <w:lang w:val="en-GB"/>
        </w:rPr>
        <w:t>.</w:t>
      </w:r>
    </w:p>
    <w:p w:rsidR="00187DA6" w:rsidRPr="00B70741" w:rsidRDefault="00187DA6" w:rsidP="00187DA6">
      <w:pPr>
        <w:numPr>
          <w:ilvl w:val="0"/>
          <w:numId w:val="2"/>
        </w:numPr>
        <w:spacing w:line="360" w:lineRule="auto"/>
        <w:rPr>
          <w:rFonts w:asciiTheme="minorHAnsi" w:hAnsiTheme="minorHAnsi"/>
          <w:sz w:val="20"/>
          <w:szCs w:val="20"/>
          <w:lang w:val="en-GB"/>
        </w:rPr>
      </w:pPr>
      <w:r w:rsidRPr="00B70741">
        <w:rPr>
          <w:rFonts w:asciiTheme="minorHAnsi" w:hAnsiTheme="minorHAnsi"/>
          <w:bCs/>
          <w:sz w:val="20"/>
          <w:szCs w:val="20"/>
          <w:lang w:val="en-GB"/>
        </w:rPr>
        <w:lastRenderedPageBreak/>
        <w:t>Recent myocardial infarction (&lt; 6 months) or unstable angina</w:t>
      </w:r>
      <w:r w:rsidR="00C96180" w:rsidRPr="00B70741">
        <w:rPr>
          <w:rFonts w:asciiTheme="minorHAnsi" w:hAnsiTheme="minorHAnsi"/>
          <w:bCs/>
          <w:sz w:val="20"/>
          <w:szCs w:val="20"/>
          <w:lang w:val="en-GB"/>
        </w:rPr>
        <w:t>.</w:t>
      </w:r>
    </w:p>
    <w:p w:rsidR="00187DA6" w:rsidRPr="00B70741" w:rsidRDefault="00187DA6" w:rsidP="00187DA6">
      <w:pPr>
        <w:numPr>
          <w:ilvl w:val="0"/>
          <w:numId w:val="2"/>
        </w:numPr>
        <w:spacing w:line="360" w:lineRule="auto"/>
        <w:rPr>
          <w:rFonts w:asciiTheme="minorHAnsi" w:hAnsiTheme="minorHAnsi"/>
          <w:sz w:val="20"/>
          <w:szCs w:val="20"/>
          <w:lang w:val="en-GB"/>
        </w:rPr>
      </w:pPr>
      <w:r w:rsidRPr="00B70741">
        <w:rPr>
          <w:rFonts w:asciiTheme="minorHAnsi" w:hAnsiTheme="minorHAnsi"/>
          <w:bCs/>
          <w:sz w:val="20"/>
          <w:szCs w:val="20"/>
          <w:lang w:val="en-GB"/>
        </w:rPr>
        <w:t>Any medical condition not yet specified above that is considered to interfere with study procedures, including adequate follow-up and compliance and/or would jeopardise safe treatment</w:t>
      </w:r>
      <w:r w:rsidR="00C96180" w:rsidRPr="00B70741">
        <w:rPr>
          <w:rFonts w:asciiTheme="minorHAnsi" w:hAnsiTheme="minorHAnsi"/>
          <w:bCs/>
          <w:sz w:val="20"/>
          <w:szCs w:val="20"/>
          <w:lang w:val="en-GB"/>
        </w:rPr>
        <w:t>.</w:t>
      </w:r>
    </w:p>
    <w:p w:rsidR="00187DA6" w:rsidRPr="00B70741" w:rsidRDefault="00187DA6" w:rsidP="00187DA6">
      <w:pPr>
        <w:numPr>
          <w:ilvl w:val="0"/>
          <w:numId w:val="2"/>
        </w:numPr>
        <w:spacing w:line="360" w:lineRule="auto"/>
        <w:rPr>
          <w:rFonts w:asciiTheme="minorHAnsi" w:hAnsiTheme="minorHAnsi"/>
          <w:bCs/>
          <w:sz w:val="20"/>
          <w:szCs w:val="20"/>
          <w:lang w:val="en-GB"/>
        </w:rPr>
      </w:pPr>
      <w:r w:rsidRPr="00B70741">
        <w:rPr>
          <w:rFonts w:asciiTheme="minorHAnsi" w:hAnsiTheme="minorHAnsi"/>
          <w:bCs/>
          <w:sz w:val="20"/>
          <w:szCs w:val="20"/>
          <w:lang w:val="en-GB"/>
        </w:rPr>
        <w:t>Known hypersensitivity for any of the applied chemotherapeutic agents and/or their solvents</w:t>
      </w:r>
      <w:r w:rsidR="00C96180" w:rsidRPr="00B70741">
        <w:rPr>
          <w:rFonts w:asciiTheme="minorHAnsi" w:hAnsiTheme="minorHAnsi"/>
          <w:bCs/>
          <w:sz w:val="20"/>
          <w:szCs w:val="20"/>
          <w:lang w:val="en-GB"/>
        </w:rPr>
        <w:t>.</w:t>
      </w:r>
    </w:p>
    <w:p w:rsidR="004F4E97" w:rsidRPr="00B70741" w:rsidRDefault="004F4E97">
      <w:pPr>
        <w:rPr>
          <w:lang w:val="en-GB"/>
        </w:rPr>
      </w:pPr>
    </w:p>
    <w:p w:rsidR="004F4E97" w:rsidRPr="00B70741" w:rsidRDefault="004F4E97">
      <w:pPr>
        <w:rPr>
          <w:lang w:val="en-GB"/>
        </w:rPr>
      </w:pPr>
    </w:p>
    <w:p w:rsidR="00D02318" w:rsidRPr="00B70741" w:rsidRDefault="004F4E97">
      <w:pPr>
        <w:rPr>
          <w:lang w:val="en-GB"/>
        </w:rPr>
      </w:pPr>
      <w:r w:rsidRPr="00B70741">
        <w:rPr>
          <w:lang w:val="en-GB"/>
        </w:rPr>
        <w:fldChar w:fldCharType="begin"/>
      </w:r>
      <w:r w:rsidRPr="00B70741">
        <w:rPr>
          <w:lang w:val="en-GB"/>
        </w:rPr>
        <w:instrText xml:space="preserve"> ADDIN EN.REFLIST </w:instrText>
      </w:r>
      <w:r w:rsidRPr="00B70741">
        <w:rPr>
          <w:lang w:val="en-GB"/>
        </w:rPr>
        <w:fldChar w:fldCharType="end"/>
      </w:r>
    </w:p>
    <w:sectPr w:rsidR="00D02318" w:rsidRPr="00B707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4D19F5"/>
    <w:multiLevelType w:val="hybridMultilevel"/>
    <w:tmpl w:val="AE76533A"/>
    <w:lvl w:ilvl="0" w:tplc="431CFB1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822218"/>
    <w:multiLevelType w:val="multilevel"/>
    <w:tmpl w:val="216A4120"/>
    <w:lvl w:ilvl="0">
      <w:start w:val="1"/>
      <w:numFmt w:val="decimal"/>
      <w:pStyle w:val="Heading1"/>
      <w:lvlText w:val="%1."/>
      <w:lvlJc w:val="left"/>
      <w:pPr>
        <w:tabs>
          <w:tab w:val="num" w:pos="340"/>
        </w:tabs>
        <w:ind w:left="340" w:hanging="340"/>
      </w:pPr>
      <w:rPr>
        <w:rFonts w:asciiTheme="majorHAnsi" w:hAnsiTheme="majorHAnsi" w:hint="default"/>
        <w:b/>
        <w:i w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95"/>
        </w:tabs>
        <w:ind w:left="795" w:hanging="511"/>
      </w:pPr>
      <w:rPr>
        <w:rFonts w:asciiTheme="majorHAnsi" w:hAnsiTheme="majorHAnsi" w:hint="default"/>
        <w:sz w:val="22"/>
        <w:szCs w:val="22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2692"/>
        </w:tabs>
        <w:ind w:left="2692" w:hanging="283"/>
      </w:pPr>
      <w:rPr>
        <w:rFonts w:hint="default"/>
      </w:rPr>
    </w:lvl>
    <w:lvl w:ilvl="3">
      <w:start w:val="1"/>
      <w:numFmt w:val="none"/>
      <w:pStyle w:val="Heading4"/>
      <w:lvlText w:val="0"/>
      <w:lvlJc w:val="left"/>
      <w:pPr>
        <w:tabs>
          <w:tab w:val="num" w:pos="717"/>
        </w:tabs>
        <w:ind w:left="717" w:hanging="864"/>
      </w:pPr>
      <w:rPr>
        <w:rFonts w:hint="default"/>
      </w:rPr>
    </w:lvl>
    <w:lvl w:ilvl="4">
      <w:start w:val="1"/>
      <w:numFmt w:val="none"/>
      <w:pStyle w:val="Heading5"/>
      <w:lvlText w:val="0"/>
      <w:lvlJc w:val="left"/>
      <w:pPr>
        <w:tabs>
          <w:tab w:val="num" w:pos="861"/>
        </w:tabs>
        <w:ind w:left="861" w:hanging="1008"/>
      </w:pPr>
      <w:rPr>
        <w:rFonts w:hint="default"/>
      </w:rPr>
    </w:lvl>
    <w:lvl w:ilvl="5">
      <w:start w:val="1"/>
      <w:numFmt w:val="none"/>
      <w:pStyle w:val="Heading6"/>
      <w:lvlText w:val="0"/>
      <w:lvlJc w:val="left"/>
      <w:pPr>
        <w:tabs>
          <w:tab w:val="num" w:pos="1005"/>
        </w:tabs>
        <w:ind w:left="1005" w:hanging="1152"/>
      </w:pPr>
      <w:rPr>
        <w:rFonts w:hint="default"/>
      </w:rPr>
    </w:lvl>
    <w:lvl w:ilvl="6">
      <w:start w:val="1"/>
      <w:numFmt w:val="none"/>
      <w:pStyle w:val="Heading7"/>
      <w:lvlText w:val="0"/>
      <w:lvlJc w:val="left"/>
      <w:pPr>
        <w:tabs>
          <w:tab w:val="num" w:pos="1149"/>
        </w:tabs>
        <w:ind w:left="1149" w:hanging="1296"/>
      </w:pPr>
      <w:rPr>
        <w:rFonts w:hint="default"/>
      </w:rPr>
    </w:lvl>
    <w:lvl w:ilvl="7">
      <w:start w:val="1"/>
      <w:numFmt w:val="none"/>
      <w:pStyle w:val="Heading8"/>
      <w:lvlText w:val="0"/>
      <w:lvlJc w:val="left"/>
      <w:pPr>
        <w:tabs>
          <w:tab w:val="num" w:pos="1293"/>
        </w:tabs>
        <w:ind w:left="1293" w:hanging="1440"/>
      </w:pPr>
      <w:rPr>
        <w:rFonts w:hint="default"/>
      </w:rPr>
    </w:lvl>
    <w:lvl w:ilvl="8">
      <w:start w:val="1"/>
      <w:numFmt w:val="none"/>
      <w:pStyle w:val="Heading9"/>
      <w:lvlText w:val="0"/>
      <w:lvlJc w:val="left"/>
      <w:pPr>
        <w:tabs>
          <w:tab w:val="num" w:pos="1437"/>
        </w:tabs>
        <w:ind w:left="1437" w:hanging="1584"/>
      </w:pPr>
      <w:rPr>
        <w:rFonts w:hint="default"/>
      </w:rPr>
    </w:lvl>
  </w:abstractNum>
  <w:abstractNum w:abstractNumId="2">
    <w:nsid w:val="49B01753"/>
    <w:multiLevelType w:val="hybridMultilevel"/>
    <w:tmpl w:val="56962C2A"/>
    <w:lvl w:ilvl="0" w:tplc="42B8FCB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rwxsppe1sf59depets50vfoweefdfe5eefw&quot;&gt;My EndNote Library&lt;record-ids&gt;&lt;item&gt;480&lt;/item&gt;&lt;/record-ids&gt;&lt;/item&gt;&lt;/Libraries&gt;"/>
    <w:docVar w:name="Total_Editing_Time" w:val="11"/>
  </w:docVars>
  <w:rsids>
    <w:rsidRoot w:val="00187DA6"/>
    <w:rsid w:val="000510FD"/>
    <w:rsid w:val="00187DA6"/>
    <w:rsid w:val="004876D9"/>
    <w:rsid w:val="004B05EA"/>
    <w:rsid w:val="004F4E97"/>
    <w:rsid w:val="006146AE"/>
    <w:rsid w:val="006D0CBB"/>
    <w:rsid w:val="00931F65"/>
    <w:rsid w:val="00B70741"/>
    <w:rsid w:val="00C96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DA6"/>
    <w:pPr>
      <w:tabs>
        <w:tab w:val="left" w:pos="284"/>
        <w:tab w:val="left" w:pos="1701"/>
      </w:tabs>
      <w:spacing w:after="0" w:line="320" w:lineRule="exact"/>
    </w:pPr>
    <w:rPr>
      <w:rFonts w:ascii="Arial" w:eastAsiaTheme="minorEastAsia" w:hAnsi="Arial" w:cs="Times New Roman"/>
      <w:lang w:eastAsia="nl-NL"/>
    </w:rPr>
  </w:style>
  <w:style w:type="paragraph" w:styleId="Heading1">
    <w:name w:val="heading 1"/>
    <w:basedOn w:val="Normal"/>
    <w:next w:val="Normal"/>
    <w:link w:val="Heading1Char"/>
    <w:qFormat/>
    <w:rsid w:val="00187DA6"/>
    <w:pPr>
      <w:keepNext/>
      <w:numPr>
        <w:numId w:val="3"/>
      </w:numPr>
      <w:tabs>
        <w:tab w:val="clear" w:pos="284"/>
      </w:tabs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187DA6"/>
    <w:pPr>
      <w:keepNext/>
      <w:numPr>
        <w:ilvl w:val="1"/>
        <w:numId w:val="3"/>
      </w:numPr>
      <w:tabs>
        <w:tab w:val="clear" w:pos="284"/>
      </w:tabs>
      <w:spacing w:before="12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187DA6"/>
    <w:pPr>
      <w:keepNext/>
      <w:numPr>
        <w:ilvl w:val="2"/>
        <w:numId w:val="3"/>
      </w:numPr>
      <w:tabs>
        <w:tab w:val="clear" w:pos="284"/>
      </w:tabs>
      <w:spacing w:before="240" w:after="60"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187DA6"/>
    <w:pPr>
      <w:keepNext/>
      <w:numPr>
        <w:ilvl w:val="3"/>
        <w:numId w:val="3"/>
      </w:numPr>
      <w:tabs>
        <w:tab w:val="clear" w:pos="284"/>
      </w:tabs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187DA6"/>
    <w:pPr>
      <w:numPr>
        <w:ilvl w:val="4"/>
        <w:numId w:val="3"/>
      </w:numPr>
      <w:tabs>
        <w:tab w:val="clear" w:pos="284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87DA6"/>
    <w:pPr>
      <w:numPr>
        <w:ilvl w:val="5"/>
        <w:numId w:val="3"/>
      </w:numPr>
      <w:tabs>
        <w:tab w:val="clear" w:pos="284"/>
      </w:tabs>
      <w:spacing w:before="240" w:after="60"/>
      <w:outlineLvl w:val="5"/>
    </w:pPr>
    <w:rPr>
      <w:rFonts w:ascii="Times New Roman" w:hAnsi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187DA6"/>
    <w:pPr>
      <w:numPr>
        <w:ilvl w:val="6"/>
        <w:numId w:val="3"/>
      </w:numPr>
      <w:tabs>
        <w:tab w:val="clear" w:pos="284"/>
      </w:tabs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187DA6"/>
    <w:pPr>
      <w:numPr>
        <w:ilvl w:val="7"/>
        <w:numId w:val="3"/>
      </w:numPr>
      <w:tabs>
        <w:tab w:val="clear" w:pos="284"/>
      </w:tabs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187DA6"/>
    <w:pPr>
      <w:numPr>
        <w:ilvl w:val="8"/>
        <w:numId w:val="3"/>
      </w:numPr>
      <w:tabs>
        <w:tab w:val="clear" w:pos="284"/>
      </w:tabs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87DA6"/>
    <w:rPr>
      <w:rFonts w:ascii="Arial" w:eastAsiaTheme="minorEastAsia" w:hAnsi="Arial" w:cs="Times New Roman"/>
      <w:b/>
      <w:lang w:eastAsia="nl-NL"/>
    </w:rPr>
  </w:style>
  <w:style w:type="character" w:customStyle="1" w:styleId="Heading2Char">
    <w:name w:val="Heading 2 Char"/>
    <w:basedOn w:val="DefaultParagraphFont"/>
    <w:link w:val="Heading2"/>
    <w:rsid w:val="00187DA6"/>
    <w:rPr>
      <w:rFonts w:ascii="Arial" w:eastAsiaTheme="minorEastAsia" w:hAnsi="Arial" w:cs="Arial"/>
      <w:b/>
      <w:bCs/>
      <w:iCs/>
      <w:szCs w:val="28"/>
      <w:lang w:eastAsia="nl-NL"/>
    </w:rPr>
  </w:style>
  <w:style w:type="character" w:customStyle="1" w:styleId="Heading3Char">
    <w:name w:val="Heading 3 Char"/>
    <w:basedOn w:val="DefaultParagraphFont"/>
    <w:link w:val="Heading3"/>
    <w:rsid w:val="00187DA6"/>
    <w:rPr>
      <w:rFonts w:ascii="Arial" w:eastAsiaTheme="minorEastAsia" w:hAnsi="Arial" w:cs="Arial"/>
      <w:b/>
      <w:bCs/>
      <w:szCs w:val="26"/>
      <w:lang w:eastAsia="nl-NL"/>
    </w:rPr>
  </w:style>
  <w:style w:type="character" w:customStyle="1" w:styleId="Heading4Char">
    <w:name w:val="Heading 4 Char"/>
    <w:basedOn w:val="DefaultParagraphFont"/>
    <w:link w:val="Heading4"/>
    <w:rsid w:val="00187DA6"/>
    <w:rPr>
      <w:rFonts w:ascii="Times New Roman" w:eastAsiaTheme="minorEastAsia" w:hAnsi="Times New Roman" w:cs="Times New Roman"/>
      <w:b/>
      <w:bCs/>
      <w:sz w:val="28"/>
      <w:szCs w:val="28"/>
      <w:lang w:eastAsia="nl-NL"/>
    </w:rPr>
  </w:style>
  <w:style w:type="character" w:customStyle="1" w:styleId="Heading5Char">
    <w:name w:val="Heading 5 Char"/>
    <w:basedOn w:val="DefaultParagraphFont"/>
    <w:link w:val="Heading5"/>
    <w:rsid w:val="00187DA6"/>
    <w:rPr>
      <w:rFonts w:ascii="Arial" w:eastAsiaTheme="minorEastAsia" w:hAnsi="Arial" w:cs="Times New Roman"/>
      <w:b/>
      <w:bCs/>
      <w:i/>
      <w:iCs/>
      <w:sz w:val="26"/>
      <w:szCs w:val="26"/>
      <w:lang w:eastAsia="nl-NL"/>
    </w:rPr>
  </w:style>
  <w:style w:type="character" w:customStyle="1" w:styleId="Heading6Char">
    <w:name w:val="Heading 6 Char"/>
    <w:basedOn w:val="DefaultParagraphFont"/>
    <w:link w:val="Heading6"/>
    <w:rsid w:val="00187DA6"/>
    <w:rPr>
      <w:rFonts w:ascii="Times New Roman" w:eastAsiaTheme="minorEastAsia" w:hAnsi="Times New Roman" w:cs="Times New Roman"/>
      <w:b/>
      <w:bCs/>
      <w:lang w:eastAsia="nl-NL"/>
    </w:rPr>
  </w:style>
  <w:style w:type="character" w:customStyle="1" w:styleId="Heading7Char">
    <w:name w:val="Heading 7 Char"/>
    <w:basedOn w:val="DefaultParagraphFont"/>
    <w:link w:val="Heading7"/>
    <w:rsid w:val="00187DA6"/>
    <w:rPr>
      <w:rFonts w:ascii="Times New Roman" w:eastAsiaTheme="minorEastAsia" w:hAnsi="Times New Roman" w:cs="Times New Roman"/>
      <w:sz w:val="24"/>
      <w:szCs w:val="24"/>
      <w:lang w:eastAsia="nl-NL"/>
    </w:rPr>
  </w:style>
  <w:style w:type="character" w:customStyle="1" w:styleId="Heading8Char">
    <w:name w:val="Heading 8 Char"/>
    <w:basedOn w:val="DefaultParagraphFont"/>
    <w:link w:val="Heading8"/>
    <w:rsid w:val="00187DA6"/>
    <w:rPr>
      <w:rFonts w:ascii="Times New Roman" w:eastAsiaTheme="minorEastAsia" w:hAnsi="Times New Roman" w:cs="Times New Roman"/>
      <w:i/>
      <w:iCs/>
      <w:sz w:val="24"/>
      <w:szCs w:val="24"/>
      <w:lang w:eastAsia="nl-NL"/>
    </w:rPr>
  </w:style>
  <w:style w:type="character" w:customStyle="1" w:styleId="Heading9Char">
    <w:name w:val="Heading 9 Char"/>
    <w:basedOn w:val="DefaultParagraphFont"/>
    <w:link w:val="Heading9"/>
    <w:rsid w:val="00187DA6"/>
    <w:rPr>
      <w:rFonts w:ascii="Arial" w:eastAsiaTheme="minorEastAsia" w:hAnsi="Arial" w:cs="Arial"/>
      <w:lang w:eastAsia="nl-NL"/>
    </w:rPr>
  </w:style>
  <w:style w:type="paragraph" w:styleId="ListParagraph">
    <w:name w:val="List Paragraph"/>
    <w:basedOn w:val="Normal"/>
    <w:link w:val="ListParagraphChar"/>
    <w:uiPriority w:val="34"/>
    <w:qFormat/>
    <w:rsid w:val="00187DA6"/>
    <w:pPr>
      <w:tabs>
        <w:tab w:val="clear" w:pos="284"/>
        <w:tab w:val="clear" w:pos="1701"/>
      </w:tabs>
      <w:spacing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4F4E97"/>
    <w:pPr>
      <w:jc w:val="center"/>
    </w:pPr>
    <w:rPr>
      <w:rFonts w:cs="Arial"/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F4E97"/>
    <w:rPr>
      <w:rFonts w:ascii="Times New Roman" w:eastAsiaTheme="minorEastAsia" w:hAnsi="Times New Roman" w:cs="Times New Roman"/>
      <w:sz w:val="24"/>
      <w:szCs w:val="24"/>
      <w:lang w:eastAsia="nl-NL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4F4E97"/>
    <w:rPr>
      <w:rFonts w:ascii="Arial" w:eastAsiaTheme="minorEastAsia" w:hAnsi="Arial" w:cs="Arial"/>
      <w:noProof/>
      <w:sz w:val="24"/>
      <w:szCs w:val="24"/>
      <w:lang w:eastAsia="nl-NL"/>
    </w:rPr>
  </w:style>
  <w:style w:type="paragraph" w:customStyle="1" w:styleId="EndNoteBibliography">
    <w:name w:val="EndNote Bibliography"/>
    <w:basedOn w:val="Normal"/>
    <w:link w:val="EndNoteBibliographyChar"/>
    <w:rsid w:val="004F4E97"/>
    <w:pPr>
      <w:spacing w:line="240" w:lineRule="exact"/>
    </w:pPr>
    <w:rPr>
      <w:rFonts w:cs="Arial"/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4F4E97"/>
    <w:rPr>
      <w:rFonts w:ascii="Arial" w:eastAsiaTheme="minorEastAsia" w:hAnsi="Arial" w:cs="Arial"/>
      <w:noProof/>
      <w:sz w:val="24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DA6"/>
    <w:pPr>
      <w:tabs>
        <w:tab w:val="left" w:pos="284"/>
        <w:tab w:val="left" w:pos="1701"/>
      </w:tabs>
      <w:spacing w:after="0" w:line="320" w:lineRule="exact"/>
    </w:pPr>
    <w:rPr>
      <w:rFonts w:ascii="Arial" w:eastAsiaTheme="minorEastAsia" w:hAnsi="Arial" w:cs="Times New Roman"/>
      <w:lang w:eastAsia="nl-NL"/>
    </w:rPr>
  </w:style>
  <w:style w:type="paragraph" w:styleId="Heading1">
    <w:name w:val="heading 1"/>
    <w:basedOn w:val="Normal"/>
    <w:next w:val="Normal"/>
    <w:link w:val="Heading1Char"/>
    <w:qFormat/>
    <w:rsid w:val="00187DA6"/>
    <w:pPr>
      <w:keepNext/>
      <w:numPr>
        <w:numId w:val="3"/>
      </w:numPr>
      <w:tabs>
        <w:tab w:val="clear" w:pos="284"/>
      </w:tabs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187DA6"/>
    <w:pPr>
      <w:keepNext/>
      <w:numPr>
        <w:ilvl w:val="1"/>
        <w:numId w:val="3"/>
      </w:numPr>
      <w:tabs>
        <w:tab w:val="clear" w:pos="284"/>
      </w:tabs>
      <w:spacing w:before="12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187DA6"/>
    <w:pPr>
      <w:keepNext/>
      <w:numPr>
        <w:ilvl w:val="2"/>
        <w:numId w:val="3"/>
      </w:numPr>
      <w:tabs>
        <w:tab w:val="clear" w:pos="284"/>
      </w:tabs>
      <w:spacing w:before="240" w:after="60"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187DA6"/>
    <w:pPr>
      <w:keepNext/>
      <w:numPr>
        <w:ilvl w:val="3"/>
        <w:numId w:val="3"/>
      </w:numPr>
      <w:tabs>
        <w:tab w:val="clear" w:pos="284"/>
      </w:tabs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187DA6"/>
    <w:pPr>
      <w:numPr>
        <w:ilvl w:val="4"/>
        <w:numId w:val="3"/>
      </w:numPr>
      <w:tabs>
        <w:tab w:val="clear" w:pos="284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87DA6"/>
    <w:pPr>
      <w:numPr>
        <w:ilvl w:val="5"/>
        <w:numId w:val="3"/>
      </w:numPr>
      <w:tabs>
        <w:tab w:val="clear" w:pos="284"/>
      </w:tabs>
      <w:spacing w:before="240" w:after="60"/>
      <w:outlineLvl w:val="5"/>
    </w:pPr>
    <w:rPr>
      <w:rFonts w:ascii="Times New Roman" w:hAnsi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187DA6"/>
    <w:pPr>
      <w:numPr>
        <w:ilvl w:val="6"/>
        <w:numId w:val="3"/>
      </w:numPr>
      <w:tabs>
        <w:tab w:val="clear" w:pos="284"/>
      </w:tabs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187DA6"/>
    <w:pPr>
      <w:numPr>
        <w:ilvl w:val="7"/>
        <w:numId w:val="3"/>
      </w:numPr>
      <w:tabs>
        <w:tab w:val="clear" w:pos="284"/>
      </w:tabs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187DA6"/>
    <w:pPr>
      <w:numPr>
        <w:ilvl w:val="8"/>
        <w:numId w:val="3"/>
      </w:numPr>
      <w:tabs>
        <w:tab w:val="clear" w:pos="284"/>
      </w:tabs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87DA6"/>
    <w:rPr>
      <w:rFonts w:ascii="Arial" w:eastAsiaTheme="minorEastAsia" w:hAnsi="Arial" w:cs="Times New Roman"/>
      <w:b/>
      <w:lang w:eastAsia="nl-NL"/>
    </w:rPr>
  </w:style>
  <w:style w:type="character" w:customStyle="1" w:styleId="Heading2Char">
    <w:name w:val="Heading 2 Char"/>
    <w:basedOn w:val="DefaultParagraphFont"/>
    <w:link w:val="Heading2"/>
    <w:rsid w:val="00187DA6"/>
    <w:rPr>
      <w:rFonts w:ascii="Arial" w:eastAsiaTheme="minorEastAsia" w:hAnsi="Arial" w:cs="Arial"/>
      <w:b/>
      <w:bCs/>
      <w:iCs/>
      <w:szCs w:val="28"/>
      <w:lang w:eastAsia="nl-NL"/>
    </w:rPr>
  </w:style>
  <w:style w:type="character" w:customStyle="1" w:styleId="Heading3Char">
    <w:name w:val="Heading 3 Char"/>
    <w:basedOn w:val="DefaultParagraphFont"/>
    <w:link w:val="Heading3"/>
    <w:rsid w:val="00187DA6"/>
    <w:rPr>
      <w:rFonts w:ascii="Arial" w:eastAsiaTheme="minorEastAsia" w:hAnsi="Arial" w:cs="Arial"/>
      <w:b/>
      <w:bCs/>
      <w:szCs w:val="26"/>
      <w:lang w:eastAsia="nl-NL"/>
    </w:rPr>
  </w:style>
  <w:style w:type="character" w:customStyle="1" w:styleId="Heading4Char">
    <w:name w:val="Heading 4 Char"/>
    <w:basedOn w:val="DefaultParagraphFont"/>
    <w:link w:val="Heading4"/>
    <w:rsid w:val="00187DA6"/>
    <w:rPr>
      <w:rFonts w:ascii="Times New Roman" w:eastAsiaTheme="minorEastAsia" w:hAnsi="Times New Roman" w:cs="Times New Roman"/>
      <w:b/>
      <w:bCs/>
      <w:sz w:val="28"/>
      <w:szCs w:val="28"/>
      <w:lang w:eastAsia="nl-NL"/>
    </w:rPr>
  </w:style>
  <w:style w:type="character" w:customStyle="1" w:styleId="Heading5Char">
    <w:name w:val="Heading 5 Char"/>
    <w:basedOn w:val="DefaultParagraphFont"/>
    <w:link w:val="Heading5"/>
    <w:rsid w:val="00187DA6"/>
    <w:rPr>
      <w:rFonts w:ascii="Arial" w:eastAsiaTheme="minorEastAsia" w:hAnsi="Arial" w:cs="Times New Roman"/>
      <w:b/>
      <w:bCs/>
      <w:i/>
      <w:iCs/>
      <w:sz w:val="26"/>
      <w:szCs w:val="26"/>
      <w:lang w:eastAsia="nl-NL"/>
    </w:rPr>
  </w:style>
  <w:style w:type="character" w:customStyle="1" w:styleId="Heading6Char">
    <w:name w:val="Heading 6 Char"/>
    <w:basedOn w:val="DefaultParagraphFont"/>
    <w:link w:val="Heading6"/>
    <w:rsid w:val="00187DA6"/>
    <w:rPr>
      <w:rFonts w:ascii="Times New Roman" w:eastAsiaTheme="minorEastAsia" w:hAnsi="Times New Roman" w:cs="Times New Roman"/>
      <w:b/>
      <w:bCs/>
      <w:lang w:eastAsia="nl-NL"/>
    </w:rPr>
  </w:style>
  <w:style w:type="character" w:customStyle="1" w:styleId="Heading7Char">
    <w:name w:val="Heading 7 Char"/>
    <w:basedOn w:val="DefaultParagraphFont"/>
    <w:link w:val="Heading7"/>
    <w:rsid w:val="00187DA6"/>
    <w:rPr>
      <w:rFonts w:ascii="Times New Roman" w:eastAsiaTheme="minorEastAsia" w:hAnsi="Times New Roman" w:cs="Times New Roman"/>
      <w:sz w:val="24"/>
      <w:szCs w:val="24"/>
      <w:lang w:eastAsia="nl-NL"/>
    </w:rPr>
  </w:style>
  <w:style w:type="character" w:customStyle="1" w:styleId="Heading8Char">
    <w:name w:val="Heading 8 Char"/>
    <w:basedOn w:val="DefaultParagraphFont"/>
    <w:link w:val="Heading8"/>
    <w:rsid w:val="00187DA6"/>
    <w:rPr>
      <w:rFonts w:ascii="Times New Roman" w:eastAsiaTheme="minorEastAsia" w:hAnsi="Times New Roman" w:cs="Times New Roman"/>
      <w:i/>
      <w:iCs/>
      <w:sz w:val="24"/>
      <w:szCs w:val="24"/>
      <w:lang w:eastAsia="nl-NL"/>
    </w:rPr>
  </w:style>
  <w:style w:type="character" w:customStyle="1" w:styleId="Heading9Char">
    <w:name w:val="Heading 9 Char"/>
    <w:basedOn w:val="DefaultParagraphFont"/>
    <w:link w:val="Heading9"/>
    <w:rsid w:val="00187DA6"/>
    <w:rPr>
      <w:rFonts w:ascii="Arial" w:eastAsiaTheme="minorEastAsia" w:hAnsi="Arial" w:cs="Arial"/>
      <w:lang w:eastAsia="nl-NL"/>
    </w:rPr>
  </w:style>
  <w:style w:type="paragraph" w:styleId="ListParagraph">
    <w:name w:val="List Paragraph"/>
    <w:basedOn w:val="Normal"/>
    <w:link w:val="ListParagraphChar"/>
    <w:uiPriority w:val="34"/>
    <w:qFormat/>
    <w:rsid w:val="00187DA6"/>
    <w:pPr>
      <w:tabs>
        <w:tab w:val="clear" w:pos="284"/>
        <w:tab w:val="clear" w:pos="1701"/>
      </w:tabs>
      <w:spacing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4F4E97"/>
    <w:pPr>
      <w:jc w:val="center"/>
    </w:pPr>
    <w:rPr>
      <w:rFonts w:cs="Arial"/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F4E97"/>
    <w:rPr>
      <w:rFonts w:ascii="Times New Roman" w:eastAsiaTheme="minorEastAsia" w:hAnsi="Times New Roman" w:cs="Times New Roman"/>
      <w:sz w:val="24"/>
      <w:szCs w:val="24"/>
      <w:lang w:eastAsia="nl-NL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4F4E97"/>
    <w:rPr>
      <w:rFonts w:ascii="Arial" w:eastAsiaTheme="minorEastAsia" w:hAnsi="Arial" w:cs="Arial"/>
      <w:noProof/>
      <w:sz w:val="24"/>
      <w:szCs w:val="24"/>
      <w:lang w:eastAsia="nl-NL"/>
    </w:rPr>
  </w:style>
  <w:style w:type="paragraph" w:customStyle="1" w:styleId="EndNoteBibliography">
    <w:name w:val="EndNote Bibliography"/>
    <w:basedOn w:val="Normal"/>
    <w:link w:val="EndNoteBibliographyChar"/>
    <w:rsid w:val="004F4E97"/>
    <w:pPr>
      <w:spacing w:line="240" w:lineRule="exact"/>
    </w:pPr>
    <w:rPr>
      <w:rFonts w:cs="Arial"/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4F4E97"/>
    <w:rPr>
      <w:rFonts w:ascii="Arial" w:eastAsiaTheme="minorEastAsia" w:hAnsi="Arial" w:cs="Arial"/>
      <w:noProof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403</Words>
  <Characters>2258</Characters>
  <Application>Microsoft Office Word</Application>
  <DocSecurity>0</DocSecurity>
  <Lines>44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Antoni van Leeuwenhoek</Company>
  <LinksUpToDate>false</LinksUpToDate>
  <CharactersWithSpaces>2625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Willem Koemans</dc:creator>
  <cp:lastModifiedBy>MSARDAN</cp:lastModifiedBy>
  <cp:revision>7</cp:revision>
  <dcterms:created xsi:type="dcterms:W3CDTF">2018-08-24T11:53:00Z</dcterms:created>
  <dcterms:modified xsi:type="dcterms:W3CDTF">2019-04-30T11:41:00Z</dcterms:modified>
</cp:coreProperties>
</file>