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4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006"/>
        <w:gridCol w:w="719"/>
        <w:gridCol w:w="1441"/>
        <w:gridCol w:w="1151"/>
        <w:gridCol w:w="862"/>
        <w:gridCol w:w="1439"/>
        <w:gridCol w:w="9"/>
      </w:tblGrid>
      <w:tr w:rsidR="0003126A" w:rsidRPr="006206AD" w:rsidTr="00A20AA7">
        <w:trPr>
          <w:trHeight w:val="188"/>
        </w:trPr>
        <w:tc>
          <w:tcPr>
            <w:tcW w:w="8487" w:type="dxa"/>
            <w:gridSpan w:val="8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037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Table </w:t>
            </w:r>
            <w:r w:rsidR="00667A76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S</w:t>
            </w:r>
            <w:r>
              <w:rPr>
                <w:rFonts w:eastAsia="宋体" w:cs="Times New Roman" w:hint="eastAsia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</w:t>
            </w: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. Univariable and multivariable analysis of overall survival</w:t>
            </w:r>
          </w:p>
        </w:tc>
      </w:tr>
      <w:tr w:rsidR="0003126A" w:rsidRPr="006206AD" w:rsidTr="00A20AA7">
        <w:trPr>
          <w:trHeight w:val="188"/>
        </w:trPr>
        <w:tc>
          <w:tcPr>
            <w:tcW w:w="18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Factors</w:t>
            </w:r>
          </w:p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Univariate Analysis</w:t>
            </w:r>
          </w:p>
        </w:tc>
        <w:tc>
          <w:tcPr>
            <w:tcW w:w="345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Multivariate Analysis</w:t>
            </w:r>
          </w:p>
        </w:tc>
      </w:tr>
      <w:tr w:rsidR="0003126A" w:rsidRPr="006206AD" w:rsidTr="00A20AA7">
        <w:trPr>
          <w:gridAfter w:val="1"/>
          <w:wAfter w:w="9" w:type="dxa"/>
          <w:trHeight w:val="234"/>
        </w:trPr>
        <w:tc>
          <w:tcPr>
            <w:tcW w:w="18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P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HR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95 CI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P</w:t>
            </w:r>
          </w:p>
        </w:tc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18"/>
                <w:szCs w:val="18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18"/>
                <w:szCs w:val="18"/>
                <w:bdr w:val="none" w:sz="0" w:space="0" w:color="auto"/>
              </w:rPr>
              <w:t>Adjusted HR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1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1"/>
                <w:bdr w:val="none" w:sz="0" w:space="0" w:color="auto"/>
              </w:rPr>
              <w:t>95 CI</w:t>
            </w:r>
          </w:p>
        </w:tc>
      </w:tr>
      <w:tr w:rsidR="0003126A" w:rsidRPr="006206AD" w:rsidTr="00A20AA7">
        <w:trPr>
          <w:gridAfter w:val="1"/>
          <w:wAfter w:w="9" w:type="dxa"/>
          <w:trHeight w:val="205"/>
        </w:trPr>
        <w:tc>
          <w:tcPr>
            <w:tcW w:w="1861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Age(years)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188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≤ 40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0.934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1.043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0.388-2.800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41-50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0.364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0.659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0.268-1.622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51-60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0.643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0.804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0.319-2.025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≥61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188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Tumor Size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≥ 3 cm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0.003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3.464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1.512-7.933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0.566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0.679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0.181-2.545</w:t>
            </w: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&lt; 3 cm 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188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LN Metastases 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&lt;0.001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5.688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2.582-12.533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0.047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4.262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1.018-17.835</w:t>
            </w:r>
          </w:p>
        </w:tc>
      </w:tr>
      <w:tr w:rsidR="0003126A" w:rsidRPr="006206AD" w:rsidTr="00A20AA7">
        <w:trPr>
          <w:gridAfter w:val="1"/>
          <w:wAfter w:w="9" w:type="dxa"/>
          <w:trHeight w:val="188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ER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0.027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2.432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1.105-5.355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0.405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0.601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0.181-1.991</w:t>
            </w:r>
          </w:p>
        </w:tc>
      </w:tr>
      <w:tr w:rsidR="0003126A" w:rsidRPr="006206AD" w:rsidTr="00A20AA7">
        <w:trPr>
          <w:gridAfter w:val="1"/>
          <w:wAfter w:w="9" w:type="dxa"/>
          <w:trHeight w:val="188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PR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0.818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1.084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0.546-2.151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188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Her2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0.006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2.518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1.297-4.889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0.272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1.579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0.699-3.567</w:t>
            </w:r>
          </w:p>
        </w:tc>
      </w:tr>
      <w:tr w:rsidR="0003126A" w:rsidRPr="006206AD" w:rsidTr="00A20AA7">
        <w:trPr>
          <w:gridAfter w:val="1"/>
          <w:wAfter w:w="9" w:type="dxa"/>
          <w:trHeight w:val="205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AIFM3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High Expression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0.022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2.631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1.149-6.026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0.053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2.477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0.990-6.198</w:t>
            </w: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Low Expression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Histological grade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2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3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0.991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1.007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0.306-3.312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unrated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0.539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1.389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0.487-3.960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Molecular typing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Chars="100" w:firstLine="211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Luminal A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0.743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0.818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0.246-2.717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Chars="100" w:firstLine="211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Luminal B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0.035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3.181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1.086-9.312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Her-2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0.981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0.982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0.220-4.387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TNBC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188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TNM staging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I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9" w:type="dxa"/>
          <w:trHeight w:val="227"/>
        </w:trPr>
        <w:tc>
          <w:tcPr>
            <w:tcW w:w="186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II</w:t>
            </w:r>
          </w:p>
        </w:tc>
        <w:tc>
          <w:tcPr>
            <w:tcW w:w="1007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0.027</w:t>
            </w:r>
          </w:p>
        </w:tc>
        <w:tc>
          <w:tcPr>
            <w:tcW w:w="71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9.680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1.288-72.746</w:t>
            </w:r>
          </w:p>
        </w:tc>
        <w:tc>
          <w:tcPr>
            <w:tcW w:w="1151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0.034</w:t>
            </w:r>
          </w:p>
        </w:tc>
        <w:tc>
          <w:tcPr>
            <w:tcW w:w="86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10.170</w:t>
            </w:r>
          </w:p>
        </w:tc>
        <w:tc>
          <w:tcPr>
            <w:tcW w:w="143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1.195-85.560</w:t>
            </w:r>
          </w:p>
        </w:tc>
      </w:tr>
      <w:tr w:rsidR="0003126A" w:rsidRPr="006206AD" w:rsidTr="00A20AA7">
        <w:trPr>
          <w:gridAfter w:val="1"/>
          <w:wAfter w:w="9" w:type="dxa"/>
          <w:trHeight w:val="400"/>
        </w:trPr>
        <w:tc>
          <w:tcPr>
            <w:tcW w:w="1861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III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0.003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22.375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2.976-168.230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0.006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20.552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2.424-174.266</w:t>
            </w:r>
          </w:p>
        </w:tc>
      </w:tr>
    </w:tbl>
    <w:p w:rsidR="0003126A" w:rsidRDefault="0003126A" w:rsidP="0003126A">
      <w:pPr>
        <w:jc w:val="center"/>
        <w:outlineLvl w:val="0"/>
        <w:rPr>
          <w:rFonts w:cs="Times New Roman"/>
          <w:b/>
          <w:color w:val="000000" w:themeColor="text1"/>
        </w:rPr>
      </w:pPr>
    </w:p>
    <w:p w:rsidR="0003126A" w:rsidRDefault="0003126A" w:rsidP="0003126A">
      <w:pPr>
        <w:jc w:val="center"/>
        <w:outlineLvl w:val="0"/>
        <w:rPr>
          <w:rFonts w:cs="Times New Roman"/>
          <w:b/>
          <w:color w:val="000000" w:themeColor="text1"/>
        </w:rPr>
      </w:pPr>
    </w:p>
    <w:p w:rsidR="0003126A" w:rsidRPr="006206AD" w:rsidRDefault="0003126A" w:rsidP="0003126A">
      <w:pPr>
        <w:jc w:val="center"/>
        <w:outlineLvl w:val="0"/>
        <w:rPr>
          <w:rFonts w:cs="Times New Roman"/>
          <w:b/>
          <w:color w:val="000000" w:themeColor="text1"/>
        </w:rPr>
      </w:pPr>
    </w:p>
    <w:p w:rsidR="0003126A" w:rsidRPr="006206AD" w:rsidRDefault="0003126A" w:rsidP="0003126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left"/>
        <w:rPr>
          <w:rFonts w:eastAsia="宋体" w:cs="Times New Roman"/>
          <w:b/>
          <w:color w:val="000000" w:themeColor="text1"/>
          <w:kern w:val="2"/>
          <w:sz w:val="21"/>
          <w:szCs w:val="22"/>
          <w:bdr w:val="none" w:sz="0" w:space="0" w:color="auto"/>
        </w:rPr>
      </w:pPr>
    </w:p>
    <w:p w:rsidR="0003126A" w:rsidRPr="006206AD" w:rsidRDefault="0003126A" w:rsidP="0003126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left"/>
        <w:rPr>
          <w:rFonts w:eastAsia="宋体" w:cs="Times New Roman"/>
          <w:b/>
          <w:color w:val="000000" w:themeColor="text1"/>
          <w:kern w:val="2"/>
          <w:sz w:val="21"/>
          <w:szCs w:val="22"/>
          <w:bdr w:val="none" w:sz="0" w:space="0" w:color="auto"/>
        </w:rPr>
      </w:pPr>
    </w:p>
    <w:tbl>
      <w:tblPr>
        <w:tblW w:w="86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950"/>
        <w:gridCol w:w="872"/>
        <w:gridCol w:w="1310"/>
        <w:gridCol w:w="1194"/>
        <w:gridCol w:w="1178"/>
        <w:gridCol w:w="1325"/>
        <w:gridCol w:w="19"/>
      </w:tblGrid>
      <w:tr w:rsidR="0003126A" w:rsidRPr="006206AD" w:rsidTr="00A20AA7">
        <w:trPr>
          <w:trHeight w:val="195"/>
        </w:trPr>
        <w:tc>
          <w:tcPr>
            <w:tcW w:w="8695" w:type="dxa"/>
            <w:gridSpan w:val="8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037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lastRenderedPageBreak/>
              <w:t xml:space="preserve">Table </w:t>
            </w:r>
            <w:r w:rsidR="00667A76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S</w:t>
            </w:r>
            <w:r>
              <w:rPr>
                <w:rFonts w:eastAsia="宋体" w:cs="Times New Roman" w:hint="eastAsia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</w:t>
            </w: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. </w:t>
            </w:r>
            <w:bookmarkStart w:id="0" w:name="_GoBack"/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Univariable and multivariable analysis of disease-free survival</w:t>
            </w:r>
            <w:bookmarkEnd w:id="0"/>
          </w:p>
        </w:tc>
      </w:tr>
      <w:tr w:rsidR="0003126A" w:rsidRPr="006206AD" w:rsidTr="00A20AA7">
        <w:trPr>
          <w:trHeight w:val="195"/>
        </w:trPr>
        <w:tc>
          <w:tcPr>
            <w:tcW w:w="184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Factors</w:t>
            </w:r>
          </w:p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Univariate Analysis</w:t>
            </w:r>
          </w:p>
        </w:tc>
        <w:tc>
          <w:tcPr>
            <w:tcW w:w="371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Multivariate Analysis</w:t>
            </w:r>
          </w:p>
        </w:tc>
      </w:tr>
      <w:tr w:rsidR="0003126A" w:rsidRPr="006206AD" w:rsidTr="00A20AA7">
        <w:trPr>
          <w:gridAfter w:val="1"/>
          <w:wAfter w:w="19" w:type="dxa"/>
          <w:trHeight w:val="239"/>
        </w:trPr>
        <w:tc>
          <w:tcPr>
            <w:tcW w:w="184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P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HR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95 CI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P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Adjusted HR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95 CI</w:t>
            </w:r>
          </w:p>
        </w:tc>
      </w:tr>
      <w:tr w:rsidR="0003126A" w:rsidRPr="006206AD" w:rsidTr="00A20AA7">
        <w:trPr>
          <w:gridAfter w:val="1"/>
          <w:wAfter w:w="19" w:type="dxa"/>
          <w:trHeight w:val="22"/>
        </w:trPr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Age(years)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195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≤ 40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0.815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1.111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0.460-2.682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Chars="100" w:firstLine="211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41-50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0.794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0.903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0.419-1.945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51-60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0.996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0.998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0.447-2.227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≥61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195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Tumor size 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320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≥ 3 cm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&lt;0.001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3.494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1.743-7.004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0.594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1.346</w:t>
            </w: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0.452-4.010</w:t>
            </w: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&lt; 3 cm 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195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LN Metastases 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&lt;0.001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3.847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2.093-7.072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0.036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2.627</w:t>
            </w: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1.063-6.493</w:t>
            </w:r>
          </w:p>
        </w:tc>
      </w:tr>
      <w:tr w:rsidR="0003126A" w:rsidRPr="006206AD" w:rsidTr="00A20AA7">
        <w:trPr>
          <w:gridAfter w:val="1"/>
          <w:wAfter w:w="19" w:type="dxa"/>
          <w:trHeight w:val="195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ER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0.007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2.534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1.295-4.959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0.530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0.727</w:t>
            </w: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0.269-1.966</w:t>
            </w:r>
          </w:p>
        </w:tc>
      </w:tr>
      <w:tr w:rsidR="0003126A" w:rsidRPr="006206AD" w:rsidTr="00A20AA7">
        <w:trPr>
          <w:gridAfter w:val="1"/>
          <w:wAfter w:w="19" w:type="dxa"/>
          <w:trHeight w:val="147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PR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0.740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1.103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0.617-1.972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195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Her2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negative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positive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0.131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1.550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0.877-2.741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09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AIFM3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High Expression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0.034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2.019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1.053-3.874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0.106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1.782</w:t>
            </w: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0.884-3.595</w:t>
            </w: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Low Expression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Histological grade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2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89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3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0.566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0.709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0.219-2.294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unrated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0.105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1.948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0.871-4.358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Molecular typing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Chars="100" w:firstLine="211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Luminal A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0.435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1.483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0.551-3.995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Chars="100" w:firstLine="211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Luminal B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0.050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2.642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1.000-6.978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b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Her-2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0.987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0.989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0.266-3.684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TNBC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195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TNM staging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I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Reference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</w:p>
        </w:tc>
      </w:tr>
      <w:tr w:rsidR="0003126A" w:rsidRPr="006206AD" w:rsidTr="00A20AA7">
        <w:trPr>
          <w:gridAfter w:val="1"/>
          <w:wAfter w:w="19" w:type="dxa"/>
          <w:trHeight w:val="234"/>
        </w:trPr>
        <w:tc>
          <w:tcPr>
            <w:tcW w:w="184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II</w:t>
            </w:r>
          </w:p>
        </w:tc>
        <w:tc>
          <w:tcPr>
            <w:tcW w:w="9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0.022</w:t>
            </w:r>
          </w:p>
        </w:tc>
        <w:tc>
          <w:tcPr>
            <w:tcW w:w="87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3.069</w:t>
            </w:r>
          </w:p>
        </w:tc>
        <w:tc>
          <w:tcPr>
            <w:tcW w:w="130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1.178-7.995</w:t>
            </w:r>
          </w:p>
        </w:tc>
        <w:tc>
          <w:tcPr>
            <w:tcW w:w="1194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0.048</w:t>
            </w:r>
          </w:p>
        </w:tc>
        <w:tc>
          <w:tcPr>
            <w:tcW w:w="1178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2.870</w:t>
            </w:r>
          </w:p>
        </w:tc>
        <w:tc>
          <w:tcPr>
            <w:tcW w:w="13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1.009-8.168</w:t>
            </w:r>
          </w:p>
        </w:tc>
      </w:tr>
      <w:tr w:rsidR="0003126A" w:rsidRPr="006206AD" w:rsidTr="00A20AA7">
        <w:trPr>
          <w:gridAfter w:val="1"/>
          <w:wAfter w:w="19" w:type="dxa"/>
          <w:trHeight w:val="232"/>
        </w:trPr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b/>
                <w:bCs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 xml:space="preserve">  III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0.002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4.804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1.782-12.948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0.040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3.242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3126A" w:rsidRPr="006206AD" w:rsidRDefault="0003126A" w:rsidP="00A20AA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</w:pPr>
            <w:r w:rsidRPr="006206AD">
              <w:rPr>
                <w:rFonts w:eastAsia="宋体" w:cs="Times New Roman"/>
                <w:color w:val="000000" w:themeColor="text1"/>
                <w:kern w:val="2"/>
                <w:sz w:val="21"/>
                <w:szCs w:val="22"/>
                <w:bdr w:val="none" w:sz="0" w:space="0" w:color="auto"/>
              </w:rPr>
              <w:t>1.053-9.982</w:t>
            </w:r>
          </w:p>
        </w:tc>
      </w:tr>
    </w:tbl>
    <w:p w:rsidR="0003126A" w:rsidRPr="006206AD" w:rsidRDefault="0003126A" w:rsidP="0003126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rFonts w:eastAsia="宋体" w:cs="Times New Roman"/>
          <w:b/>
          <w:color w:val="000000" w:themeColor="text1"/>
          <w:kern w:val="2"/>
          <w:sz w:val="21"/>
          <w:szCs w:val="22"/>
          <w:bdr w:val="none" w:sz="0" w:space="0" w:color="auto"/>
        </w:rPr>
      </w:pPr>
    </w:p>
    <w:p w:rsidR="0003126A" w:rsidRPr="006206AD" w:rsidRDefault="0003126A" w:rsidP="0003126A">
      <w:pPr>
        <w:rPr>
          <w:rFonts w:cs="Times New Roman"/>
          <w:color w:val="000000" w:themeColor="text1"/>
        </w:rPr>
      </w:pPr>
    </w:p>
    <w:p w:rsidR="004E0A7A" w:rsidRDefault="004E0A7A"/>
    <w:sectPr w:rsidR="004E0A7A" w:rsidSect="000D31DB">
      <w:pgSz w:w="11900" w:h="16840"/>
      <w:pgMar w:top="1440" w:right="2692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60B" w:rsidRDefault="006A260B" w:rsidP="0003126A">
      <w:pPr>
        <w:spacing w:line="240" w:lineRule="auto"/>
      </w:pPr>
      <w:r>
        <w:separator/>
      </w:r>
    </w:p>
  </w:endnote>
  <w:endnote w:type="continuationSeparator" w:id="0">
    <w:p w:rsidR="006A260B" w:rsidRDefault="006A260B" w:rsidP="000312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60B" w:rsidRDefault="006A260B" w:rsidP="0003126A">
      <w:pPr>
        <w:spacing w:line="240" w:lineRule="auto"/>
      </w:pPr>
      <w:r>
        <w:separator/>
      </w:r>
    </w:p>
  </w:footnote>
  <w:footnote w:type="continuationSeparator" w:id="0">
    <w:p w:rsidR="006A260B" w:rsidRDefault="006A260B" w:rsidP="0003126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6D1"/>
    <w:rsid w:val="0003126A"/>
    <w:rsid w:val="004416D1"/>
    <w:rsid w:val="004E0A7A"/>
    <w:rsid w:val="00667A76"/>
    <w:rsid w:val="006A260B"/>
    <w:rsid w:val="00994739"/>
    <w:rsid w:val="00A0375A"/>
    <w:rsid w:val="00C6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1C6E74-556D-43C9-8492-E2C4B44E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3126A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jc w:val="both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126A"/>
    <w:pPr>
      <w:widowControl w:val="0"/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:bdr w:val="none" w:sz="0" w:space="0" w:color="auto"/>
    </w:rPr>
  </w:style>
  <w:style w:type="character" w:customStyle="1" w:styleId="Char">
    <w:name w:val="页眉 Char"/>
    <w:basedOn w:val="a0"/>
    <w:link w:val="a3"/>
    <w:uiPriority w:val="99"/>
    <w:rsid w:val="000312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126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  <w:bdr w:val="none" w:sz="0" w:space="0" w:color="auto"/>
    </w:rPr>
  </w:style>
  <w:style w:type="character" w:customStyle="1" w:styleId="Char0">
    <w:name w:val="页脚 Char"/>
    <w:basedOn w:val="a0"/>
    <w:link w:val="a4"/>
    <w:uiPriority w:val="99"/>
    <w:rsid w:val="000312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2019-01-30T10:24:00Z</dcterms:created>
  <dcterms:modified xsi:type="dcterms:W3CDTF">2019-04-26T03:12:00Z</dcterms:modified>
</cp:coreProperties>
</file>