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A36" w:rsidRPr="00BC52A2" w:rsidRDefault="00C86A36" w:rsidP="00C86A36">
      <w:pPr>
        <w:rPr>
          <w:rFonts w:ascii="Times New Roman" w:hAnsi="Times New Roman" w:cs="Times New Roman"/>
          <w:b/>
          <w:sz w:val="24"/>
          <w:szCs w:val="24"/>
          <w:lang w:val="en-US"/>
        </w:rPr>
      </w:pPr>
      <w:r w:rsidRPr="00BC52A2">
        <w:rPr>
          <w:rFonts w:ascii="Times New Roman" w:hAnsi="Times New Roman" w:cs="Times New Roman"/>
          <w:b/>
          <w:sz w:val="24"/>
          <w:szCs w:val="24"/>
          <w:lang w:val="en-US"/>
        </w:rPr>
        <w:t>Electronic Supplementary Material</w:t>
      </w:r>
    </w:p>
    <w:p w:rsidR="00C86A36" w:rsidRPr="00BC52A2" w:rsidRDefault="00C86A36" w:rsidP="00C86A36">
      <w:pPr>
        <w:rPr>
          <w:rFonts w:ascii="Times New Roman" w:hAnsi="Times New Roman" w:cs="Times New Roman"/>
          <w:b/>
          <w:sz w:val="24"/>
          <w:szCs w:val="24"/>
          <w:lang w:val="en-US"/>
        </w:rPr>
      </w:pPr>
    </w:p>
    <w:p w:rsidR="00C86A36" w:rsidRPr="00BC52A2" w:rsidRDefault="00C86A36" w:rsidP="00C86A36">
      <w:pPr>
        <w:rPr>
          <w:rFonts w:ascii="Times New Roman" w:hAnsi="Times New Roman" w:cs="Times New Roman"/>
          <w:b/>
          <w:sz w:val="24"/>
          <w:szCs w:val="24"/>
          <w:lang w:val="en-US"/>
        </w:rPr>
      </w:pPr>
      <w:r w:rsidRPr="00BC52A2">
        <w:rPr>
          <w:rFonts w:ascii="Times New Roman" w:hAnsi="Times New Roman" w:cs="Times New Roman"/>
          <w:b/>
          <w:sz w:val="24"/>
          <w:szCs w:val="24"/>
          <w:lang w:val="en-US"/>
        </w:rPr>
        <w:t xml:space="preserve">CT </w:t>
      </w:r>
      <w:r>
        <w:rPr>
          <w:rFonts w:ascii="Times New Roman" w:hAnsi="Times New Roman" w:cs="Times New Roman"/>
          <w:b/>
          <w:sz w:val="24"/>
          <w:szCs w:val="24"/>
          <w:lang w:val="en-US"/>
        </w:rPr>
        <w:t>p</w:t>
      </w:r>
      <w:r w:rsidRPr="00BC52A2">
        <w:rPr>
          <w:rFonts w:ascii="Times New Roman" w:hAnsi="Times New Roman" w:cs="Times New Roman"/>
          <w:b/>
          <w:sz w:val="24"/>
          <w:szCs w:val="24"/>
          <w:lang w:val="en-US"/>
        </w:rPr>
        <w:t xml:space="preserve">rotocol </w:t>
      </w:r>
    </w:p>
    <w:p w:rsidR="00C86A36" w:rsidRPr="00BC52A2" w:rsidRDefault="00C86A36" w:rsidP="00C86A36">
      <w:pPr>
        <w:spacing w:line="480" w:lineRule="auto"/>
        <w:rPr>
          <w:rFonts w:ascii="Times New Roman" w:hAnsi="Times New Roman" w:cs="Times New Roman"/>
          <w:sz w:val="24"/>
          <w:szCs w:val="24"/>
          <w:lang w:val="en-US"/>
        </w:rPr>
      </w:pPr>
      <w:r w:rsidRPr="00BC52A2">
        <w:rPr>
          <w:rFonts w:ascii="Times New Roman" w:hAnsi="Times New Roman" w:cs="Times New Roman"/>
          <w:sz w:val="24"/>
          <w:szCs w:val="24"/>
          <w:lang w:val="en-US"/>
        </w:rPr>
        <w:t>Volumetric helical CT perfusion (CTp) was performed on a 64-slice MDCT scanner (Lightspeed VCT, GE Healthcare, Milwaukee, W</w:t>
      </w:r>
      <w:r>
        <w:rPr>
          <w:rFonts w:ascii="Times New Roman" w:hAnsi="Times New Roman" w:cs="Times New Roman"/>
          <w:sz w:val="24"/>
          <w:szCs w:val="24"/>
          <w:lang w:val="en-US"/>
        </w:rPr>
        <w:t>I</w:t>
      </w:r>
      <w:r w:rsidRPr="00BC52A2">
        <w:rPr>
          <w:rFonts w:ascii="Times New Roman" w:hAnsi="Times New Roman" w:cs="Times New Roman"/>
          <w:sz w:val="24"/>
          <w:szCs w:val="24"/>
          <w:lang w:val="en-US"/>
        </w:rPr>
        <w:t>, USA). A non-contrast upper abdominal study was performed initially in order to confirm the location of the known liver tumor. For perfusion imaging, 51</w:t>
      </w:r>
      <w:r>
        <w:rPr>
          <w:rFonts w:ascii="Times New Roman" w:hAnsi="Times New Roman" w:cs="Times New Roman"/>
          <w:sz w:val="24"/>
          <w:szCs w:val="24"/>
          <w:lang w:val="en-US"/>
        </w:rPr>
        <w:t>–</w:t>
      </w:r>
      <w:r w:rsidRPr="00BC52A2">
        <w:rPr>
          <w:rFonts w:ascii="Times New Roman" w:hAnsi="Times New Roman" w:cs="Times New Roman"/>
          <w:sz w:val="24"/>
          <w:szCs w:val="24"/>
          <w:lang w:val="en-US"/>
        </w:rPr>
        <w:t>59 ml of contrast medium with iodine concentration of 350 mg I/ml was administered intravenously at a flow rate of 5</w:t>
      </w:r>
      <w:r>
        <w:rPr>
          <w:rFonts w:ascii="Times New Roman" w:hAnsi="Times New Roman" w:cs="Times New Roman"/>
          <w:sz w:val="24"/>
          <w:szCs w:val="24"/>
          <w:lang w:val="en-US"/>
        </w:rPr>
        <w:t>–</w:t>
      </w:r>
      <w:r w:rsidRPr="00BC52A2">
        <w:rPr>
          <w:rFonts w:ascii="Times New Roman" w:hAnsi="Times New Roman" w:cs="Times New Roman"/>
          <w:sz w:val="24"/>
          <w:szCs w:val="24"/>
          <w:lang w:val="en-US"/>
        </w:rPr>
        <w:t>6 ml/s, followed by 40 ml of saline solution at the same flow rate. A delay time of 7</w:t>
      </w:r>
      <w:r>
        <w:rPr>
          <w:rFonts w:ascii="Times New Roman" w:hAnsi="Times New Roman" w:cs="Times New Roman"/>
          <w:sz w:val="24"/>
          <w:szCs w:val="24"/>
          <w:lang w:val="en-US"/>
        </w:rPr>
        <w:t>–</w:t>
      </w:r>
      <w:r w:rsidRPr="00BC52A2">
        <w:rPr>
          <w:rFonts w:ascii="Times New Roman" w:hAnsi="Times New Roman" w:cs="Times New Roman"/>
          <w:sz w:val="24"/>
          <w:szCs w:val="24"/>
          <w:lang w:val="en-US"/>
        </w:rPr>
        <w:t>10 sec from the beginning of the injection of contrast material to the initiation of scanning was applied. Using the shuttle mode, a volume of 11</w:t>
      </w:r>
      <w:r>
        <w:rPr>
          <w:rFonts w:ascii="Times New Roman" w:hAnsi="Times New Roman" w:cs="Times New Roman"/>
          <w:sz w:val="24"/>
          <w:szCs w:val="24"/>
          <w:lang w:val="en-US"/>
        </w:rPr>
        <w:t>–</w:t>
      </w:r>
      <w:r w:rsidRPr="00BC52A2">
        <w:rPr>
          <w:rFonts w:ascii="Times New Roman" w:hAnsi="Times New Roman" w:cs="Times New Roman"/>
          <w:sz w:val="24"/>
          <w:szCs w:val="24"/>
          <w:lang w:val="en-US"/>
        </w:rPr>
        <w:t>12 cm in the z</w:t>
      </w:r>
      <w:r>
        <w:rPr>
          <w:rFonts w:ascii="Times New Roman" w:hAnsi="Times New Roman" w:cs="Times New Roman"/>
          <w:sz w:val="24"/>
          <w:szCs w:val="24"/>
          <w:lang w:val="en-US"/>
        </w:rPr>
        <w:t xml:space="preserve"> </w:t>
      </w:r>
      <w:r w:rsidRPr="00BC52A2">
        <w:rPr>
          <w:rFonts w:ascii="Times New Roman" w:hAnsi="Times New Roman" w:cs="Times New Roman"/>
          <w:sz w:val="24"/>
          <w:szCs w:val="24"/>
          <w:lang w:val="en-US"/>
        </w:rPr>
        <w:t>axis covering the lesion was scanned. Examination in the first, intravascular phase was performed in two consecutive breath-holds. The patients were trained in the breath-hold technique prior to the examination</w:t>
      </w:r>
      <w:r>
        <w:rPr>
          <w:rFonts w:ascii="Times New Roman" w:hAnsi="Times New Roman" w:cs="Times New Roman"/>
          <w:sz w:val="24"/>
          <w:szCs w:val="24"/>
          <w:lang w:val="en-US"/>
        </w:rPr>
        <w:t>,</w:t>
      </w:r>
      <w:r w:rsidRPr="00BC52A2">
        <w:rPr>
          <w:rFonts w:ascii="Times New Roman" w:hAnsi="Times New Roman" w:cs="Times New Roman"/>
          <w:sz w:val="24"/>
          <w:szCs w:val="24"/>
          <w:lang w:val="en-US"/>
        </w:rPr>
        <w:t xml:space="preserve"> and restraining bands were used to limit involuntary respiratory movements of the abdomen. A breathing</w:t>
      </w:r>
      <w:r>
        <w:rPr>
          <w:rFonts w:ascii="Times New Roman" w:hAnsi="Times New Roman" w:cs="Times New Roman"/>
          <w:sz w:val="24"/>
          <w:szCs w:val="24"/>
          <w:lang w:val="en-US"/>
        </w:rPr>
        <w:t xml:space="preserve"> </w:t>
      </w:r>
      <w:r w:rsidRPr="00BC52A2">
        <w:rPr>
          <w:rFonts w:ascii="Times New Roman" w:hAnsi="Times New Roman" w:cs="Times New Roman"/>
          <w:sz w:val="24"/>
          <w:szCs w:val="24"/>
          <w:lang w:val="en-US"/>
        </w:rPr>
        <w:t>pause of 4 seconds was allowed after the first 19</w:t>
      </w:r>
      <w:r>
        <w:rPr>
          <w:rFonts w:ascii="Times New Roman" w:hAnsi="Times New Roman" w:cs="Times New Roman"/>
          <w:sz w:val="24"/>
          <w:szCs w:val="24"/>
          <w:lang w:val="en-US"/>
        </w:rPr>
        <w:t>–</w:t>
      </w:r>
      <w:r w:rsidRPr="00BC52A2">
        <w:rPr>
          <w:rFonts w:ascii="Times New Roman" w:hAnsi="Times New Roman" w:cs="Times New Roman"/>
          <w:sz w:val="24"/>
          <w:szCs w:val="24"/>
          <w:lang w:val="en-US"/>
        </w:rPr>
        <w:t>25 seconds</w:t>
      </w:r>
      <w:r>
        <w:rPr>
          <w:rFonts w:ascii="Times New Roman" w:hAnsi="Times New Roman" w:cs="Times New Roman"/>
          <w:sz w:val="24"/>
          <w:szCs w:val="24"/>
          <w:lang w:val="en-US"/>
        </w:rPr>
        <w:t>-</w:t>
      </w:r>
      <w:r w:rsidRPr="00BC52A2">
        <w:rPr>
          <w:rFonts w:ascii="Times New Roman" w:hAnsi="Times New Roman" w:cs="Times New Roman"/>
          <w:sz w:val="24"/>
          <w:szCs w:val="24"/>
          <w:lang w:val="en-US"/>
        </w:rPr>
        <w:t>long breath-hold. In total 24</w:t>
      </w:r>
      <w:r>
        <w:rPr>
          <w:rFonts w:ascii="Times New Roman" w:hAnsi="Times New Roman" w:cs="Times New Roman"/>
          <w:sz w:val="24"/>
          <w:szCs w:val="24"/>
          <w:lang w:val="en-US"/>
        </w:rPr>
        <w:t>–</w:t>
      </w:r>
      <w:r w:rsidRPr="00BC52A2">
        <w:rPr>
          <w:rFonts w:ascii="Times New Roman" w:hAnsi="Times New Roman" w:cs="Times New Roman"/>
          <w:sz w:val="24"/>
          <w:szCs w:val="24"/>
          <w:lang w:val="en-US"/>
        </w:rPr>
        <w:t>27 scans were obtained in consecutive cranio-caudal and caudo-cranial directions during the first phase. The time per pass was 1.5 seconds, tube voltage 100</w:t>
      </w:r>
      <w:r>
        <w:rPr>
          <w:rFonts w:ascii="Times New Roman" w:hAnsi="Times New Roman" w:cs="Times New Roman"/>
          <w:sz w:val="24"/>
          <w:szCs w:val="24"/>
          <w:lang w:val="en-US"/>
        </w:rPr>
        <w:t>–</w:t>
      </w:r>
      <w:r w:rsidRPr="00BC52A2">
        <w:rPr>
          <w:rFonts w:ascii="Times New Roman" w:hAnsi="Times New Roman" w:cs="Times New Roman"/>
          <w:sz w:val="24"/>
          <w:szCs w:val="24"/>
          <w:lang w:val="en-US"/>
        </w:rPr>
        <w:t>120 kV, automatic tube current and the reconstructed slice thickness 5 mm. The duration of the first-pass acquisition was 40 seconds and it was followed by six breath-hold scans, separated from each other</w:t>
      </w:r>
      <w:r w:rsidRPr="00FB552F">
        <w:rPr>
          <w:rFonts w:ascii="Times New Roman" w:hAnsi="Times New Roman" w:cs="Times New Roman"/>
          <w:sz w:val="24"/>
          <w:szCs w:val="24"/>
          <w:lang w:val="en-US"/>
        </w:rPr>
        <w:t xml:space="preserve"> </w:t>
      </w:r>
      <w:r w:rsidRPr="00BC52A2">
        <w:rPr>
          <w:rFonts w:ascii="Times New Roman" w:hAnsi="Times New Roman" w:cs="Times New Roman"/>
          <w:sz w:val="24"/>
          <w:szCs w:val="24"/>
          <w:lang w:val="en-US"/>
        </w:rPr>
        <w:t>by 15 second</w:t>
      </w:r>
      <w:r>
        <w:rPr>
          <w:rFonts w:ascii="Times New Roman" w:hAnsi="Times New Roman" w:cs="Times New Roman"/>
          <w:sz w:val="24"/>
          <w:szCs w:val="24"/>
          <w:lang w:val="en-US"/>
        </w:rPr>
        <w:t>s</w:t>
      </w:r>
      <w:r w:rsidRPr="00BC52A2">
        <w:rPr>
          <w:rFonts w:ascii="Times New Roman" w:hAnsi="Times New Roman" w:cs="Times New Roman"/>
          <w:sz w:val="24"/>
          <w:szCs w:val="24"/>
          <w:lang w:val="en-US"/>
        </w:rPr>
        <w:t xml:space="preserve">, necessary for the computation of the permeability surface </w:t>
      </w:r>
      <w:r>
        <w:rPr>
          <w:rFonts w:ascii="Times New Roman" w:hAnsi="Times New Roman" w:cs="Times New Roman"/>
          <w:sz w:val="24"/>
          <w:szCs w:val="24"/>
          <w:lang w:val="en-US"/>
        </w:rPr>
        <w:t xml:space="preserve">area </w:t>
      </w:r>
      <w:r w:rsidRPr="00BC52A2">
        <w:rPr>
          <w:rFonts w:ascii="Times New Roman" w:hAnsi="Times New Roman" w:cs="Times New Roman"/>
          <w:sz w:val="24"/>
          <w:szCs w:val="24"/>
          <w:lang w:val="en-US"/>
        </w:rPr>
        <w:t>product (PS) parameter. The CT</w:t>
      </w:r>
      <w:r>
        <w:rPr>
          <w:rFonts w:ascii="Times New Roman" w:hAnsi="Times New Roman" w:cs="Times New Roman"/>
          <w:sz w:val="24"/>
          <w:szCs w:val="24"/>
          <w:lang w:val="en-US"/>
        </w:rPr>
        <w:t xml:space="preserve"> </w:t>
      </w:r>
      <w:r w:rsidRPr="00BC52A2">
        <w:rPr>
          <w:rFonts w:ascii="Times New Roman" w:hAnsi="Times New Roman" w:cs="Times New Roman"/>
          <w:sz w:val="24"/>
          <w:szCs w:val="24"/>
          <w:lang w:val="en-US"/>
        </w:rPr>
        <w:t>perfusion study was followed by a diagnostic portal venous phase upper abdominal study. This examination started 90 seconds after initiation of injection of 80 ml 350 mgI/ml contrast material at a rate of 3 ml/s. This diagnostic examination was used for staging purposes and reported according to our clinical practice. Data acquisition parameters and the anatomic location for scanning were kept constant for each patient and for each repeat CTp study.</w:t>
      </w:r>
    </w:p>
    <w:p w:rsidR="00C86A36" w:rsidRPr="00BC52A2" w:rsidRDefault="00C86A36" w:rsidP="00C86A36">
      <w:pPr>
        <w:spacing w:line="480" w:lineRule="auto"/>
        <w:rPr>
          <w:rFonts w:ascii="Times New Roman" w:hAnsi="Times New Roman" w:cs="Times New Roman"/>
          <w:sz w:val="24"/>
          <w:szCs w:val="24"/>
          <w:lang w:val="en-US"/>
        </w:rPr>
      </w:pPr>
      <w:r w:rsidRPr="00BC52A2">
        <w:rPr>
          <w:rFonts w:ascii="Times New Roman" w:hAnsi="Times New Roman" w:cs="Times New Roman"/>
          <w:sz w:val="24"/>
          <w:szCs w:val="24"/>
          <w:lang w:val="en-US"/>
        </w:rPr>
        <w:lastRenderedPageBreak/>
        <w:t xml:space="preserve">The resulting image material was transferred to a workstation (Advantage Windows 4.4, GE Medical Systems) with the CT Perfusion 4.0, version 4.3.1 software. The software uses </w:t>
      </w:r>
      <w:r>
        <w:rPr>
          <w:rFonts w:ascii="Times New Roman" w:hAnsi="Times New Roman" w:cs="Times New Roman"/>
          <w:sz w:val="24"/>
          <w:szCs w:val="24"/>
          <w:lang w:val="en-US"/>
        </w:rPr>
        <w:t>‘</w:t>
      </w:r>
      <w:r w:rsidRPr="00BC52A2">
        <w:rPr>
          <w:rFonts w:ascii="Times New Roman" w:hAnsi="Times New Roman" w:cs="Times New Roman"/>
          <w:sz w:val="24"/>
          <w:szCs w:val="24"/>
          <w:lang w:val="en-US"/>
        </w:rPr>
        <w:t>deconvolution</w:t>
      </w:r>
      <w:r>
        <w:rPr>
          <w:rFonts w:ascii="Times New Roman" w:hAnsi="Times New Roman" w:cs="Times New Roman"/>
          <w:sz w:val="24"/>
          <w:szCs w:val="24"/>
          <w:lang w:val="en-US"/>
        </w:rPr>
        <w:t>’</w:t>
      </w:r>
      <w:r w:rsidRPr="00BC52A2">
        <w:rPr>
          <w:rFonts w:ascii="Times New Roman" w:hAnsi="Times New Roman" w:cs="Times New Roman"/>
          <w:sz w:val="24"/>
          <w:szCs w:val="24"/>
          <w:lang w:val="en-US"/>
        </w:rPr>
        <w:t xml:space="preserve"> analysis of a distributed parameter model taking capillary permeability into consideration. This allows simultaneous determination of Blood Flow (BF in mL/100 g/min), Blood Volume (BV in mL per 100 g), Mean Transit Time (MTT in seconds), Hepatic Arterial Fraction (HAF as fractional value between 0.0 and 1.0) and permeability</w:t>
      </w:r>
      <w:r>
        <w:rPr>
          <w:rFonts w:ascii="Times New Roman" w:hAnsi="Times New Roman" w:cs="Times New Roman"/>
          <w:sz w:val="24"/>
          <w:szCs w:val="24"/>
          <w:lang w:val="en-US"/>
        </w:rPr>
        <w:t xml:space="preserve"> </w:t>
      </w:r>
      <w:r w:rsidRPr="00BC52A2">
        <w:rPr>
          <w:rFonts w:ascii="Times New Roman" w:hAnsi="Times New Roman" w:cs="Times New Roman"/>
          <w:sz w:val="24"/>
          <w:szCs w:val="24"/>
          <w:lang w:val="en-US"/>
        </w:rPr>
        <w:t>surface area product (PS in mL/100 g/min). The model requires placing a</w:t>
      </w:r>
      <w:r>
        <w:rPr>
          <w:rFonts w:ascii="Times New Roman" w:hAnsi="Times New Roman" w:cs="Times New Roman"/>
          <w:sz w:val="24"/>
          <w:szCs w:val="24"/>
          <w:lang w:val="en-US"/>
        </w:rPr>
        <w:t xml:space="preserve"> region of interest (</w:t>
      </w:r>
      <w:r w:rsidRPr="00BC52A2">
        <w:rPr>
          <w:rFonts w:ascii="Times New Roman" w:hAnsi="Times New Roman" w:cs="Times New Roman"/>
          <w:sz w:val="24"/>
          <w:szCs w:val="24"/>
          <w:lang w:val="en-US"/>
        </w:rPr>
        <w:t>ROI</w:t>
      </w:r>
      <w:r>
        <w:rPr>
          <w:rFonts w:ascii="Times New Roman" w:hAnsi="Times New Roman" w:cs="Times New Roman"/>
          <w:sz w:val="24"/>
          <w:szCs w:val="24"/>
          <w:lang w:val="en-US"/>
        </w:rPr>
        <w:t>)</w:t>
      </w:r>
      <w:r w:rsidRPr="00BC52A2">
        <w:rPr>
          <w:rFonts w:ascii="Times New Roman" w:hAnsi="Times New Roman" w:cs="Times New Roman"/>
          <w:sz w:val="24"/>
          <w:szCs w:val="24"/>
          <w:lang w:val="en-US"/>
        </w:rPr>
        <w:t xml:space="preserve"> in an artery (aorta) and another in the portal vein to obtain representative arterial and venous </w:t>
      </w:r>
      <w:r>
        <w:rPr>
          <w:rFonts w:ascii="Times New Roman" w:hAnsi="Times New Roman" w:cs="Times New Roman"/>
          <w:sz w:val="24"/>
          <w:szCs w:val="24"/>
          <w:lang w:val="en-US"/>
        </w:rPr>
        <w:t>‘</w:t>
      </w:r>
      <w:r w:rsidRPr="00BC52A2">
        <w:rPr>
          <w:rFonts w:ascii="Times New Roman" w:hAnsi="Times New Roman" w:cs="Times New Roman"/>
          <w:sz w:val="24"/>
          <w:szCs w:val="24"/>
          <w:lang w:val="en-US"/>
        </w:rPr>
        <w:t>time attenuation curves</w:t>
      </w:r>
      <w:r>
        <w:rPr>
          <w:rFonts w:ascii="Times New Roman" w:hAnsi="Times New Roman" w:cs="Times New Roman"/>
          <w:sz w:val="24"/>
          <w:szCs w:val="24"/>
          <w:lang w:val="en-US"/>
        </w:rPr>
        <w:t>’</w:t>
      </w:r>
      <w:r w:rsidRPr="00BC52A2">
        <w:rPr>
          <w:rFonts w:ascii="Times New Roman" w:hAnsi="Times New Roman" w:cs="Times New Roman"/>
          <w:sz w:val="24"/>
          <w:szCs w:val="24"/>
          <w:lang w:val="en-US"/>
        </w:rPr>
        <w:t xml:space="preserve"> (TACs). The largest tumor lesion was selected by a radiologist with more than 20 years in liver imaging. </w:t>
      </w:r>
      <w:r>
        <w:rPr>
          <w:rFonts w:ascii="Times New Roman" w:hAnsi="Times New Roman" w:cs="Times New Roman"/>
          <w:sz w:val="24"/>
          <w:szCs w:val="24"/>
          <w:lang w:val="en-US"/>
        </w:rPr>
        <w:t xml:space="preserve">An </w:t>
      </w:r>
      <w:r w:rsidRPr="00BC52A2">
        <w:rPr>
          <w:rFonts w:ascii="Times New Roman" w:hAnsi="Times New Roman" w:cs="Times New Roman"/>
          <w:sz w:val="24"/>
          <w:szCs w:val="24"/>
          <w:lang w:val="en-US"/>
        </w:rPr>
        <w:t xml:space="preserve">ROI was manually drawn covering the entire tumor target on the CT slice showing the maximum contrast enhancement. In case of mismatch due to motion the ROI was relocated to fit the area with deviant perfusion corresponding to the tumor. The perfusion parameters (BV, BF, MTT, HAF and PS) within the ROIs were automatically derived. The arterial perfusion of the tumors (AF) was then calculated by multiplying the blood flow </w:t>
      </w:r>
      <w:r>
        <w:rPr>
          <w:rFonts w:ascii="Times New Roman" w:hAnsi="Times New Roman" w:cs="Times New Roman"/>
          <w:sz w:val="24"/>
          <w:szCs w:val="24"/>
          <w:lang w:val="en-US"/>
        </w:rPr>
        <w:t>(</w:t>
      </w:r>
      <w:r w:rsidRPr="00BC52A2">
        <w:rPr>
          <w:rFonts w:ascii="Times New Roman" w:hAnsi="Times New Roman" w:cs="Times New Roman"/>
          <w:sz w:val="24"/>
          <w:szCs w:val="24"/>
          <w:lang w:val="en-US"/>
        </w:rPr>
        <w:t>BF</w:t>
      </w:r>
      <w:r>
        <w:rPr>
          <w:rFonts w:ascii="Times New Roman" w:hAnsi="Times New Roman" w:cs="Times New Roman"/>
          <w:sz w:val="24"/>
          <w:szCs w:val="24"/>
          <w:lang w:val="en-US"/>
        </w:rPr>
        <w:t>)</w:t>
      </w:r>
      <w:r w:rsidRPr="00BC52A2">
        <w:rPr>
          <w:rFonts w:ascii="Times New Roman" w:hAnsi="Times New Roman" w:cs="Times New Roman"/>
          <w:sz w:val="24"/>
          <w:szCs w:val="24"/>
          <w:lang w:val="en-US"/>
        </w:rPr>
        <w:t xml:space="preserve"> with the arterial flow fraction </w:t>
      </w:r>
      <w:r>
        <w:rPr>
          <w:rFonts w:ascii="Times New Roman" w:hAnsi="Times New Roman" w:cs="Times New Roman"/>
          <w:sz w:val="24"/>
          <w:szCs w:val="24"/>
          <w:lang w:val="en-US"/>
        </w:rPr>
        <w:t>(</w:t>
      </w:r>
      <w:r w:rsidRPr="00BC52A2">
        <w:rPr>
          <w:rFonts w:ascii="Times New Roman" w:hAnsi="Times New Roman" w:cs="Times New Roman"/>
          <w:sz w:val="24"/>
          <w:szCs w:val="24"/>
          <w:lang w:val="en-US"/>
        </w:rPr>
        <w:t>HAF</w:t>
      </w:r>
      <w:r>
        <w:rPr>
          <w:rFonts w:ascii="Times New Roman" w:hAnsi="Times New Roman" w:cs="Times New Roman"/>
          <w:sz w:val="24"/>
          <w:szCs w:val="24"/>
          <w:lang w:val="en-US"/>
        </w:rPr>
        <w:t>)</w:t>
      </w:r>
      <w:r w:rsidRPr="00BC52A2">
        <w:rPr>
          <w:rFonts w:ascii="Times New Roman" w:hAnsi="Times New Roman" w:cs="Times New Roman"/>
          <w:sz w:val="24"/>
          <w:szCs w:val="24"/>
          <w:lang w:val="en-US"/>
        </w:rPr>
        <w:t>.</w:t>
      </w:r>
    </w:p>
    <w:p w:rsidR="00C86A36" w:rsidRPr="00BC52A2" w:rsidRDefault="00C86A36" w:rsidP="00C86A36">
      <w:pPr>
        <w:spacing w:line="480" w:lineRule="auto"/>
        <w:rPr>
          <w:rFonts w:ascii="Times New Roman" w:hAnsi="Times New Roman" w:cs="Times New Roman"/>
          <w:sz w:val="24"/>
          <w:szCs w:val="24"/>
          <w:lang w:val="en-US"/>
        </w:rPr>
      </w:pPr>
      <w:r w:rsidRPr="00BC52A2">
        <w:rPr>
          <w:rFonts w:ascii="Times New Roman" w:hAnsi="Times New Roman" w:cs="Times New Roman"/>
          <w:sz w:val="24"/>
          <w:szCs w:val="24"/>
          <w:lang w:val="en-US"/>
        </w:rPr>
        <w:t>For measurement of background liver, an elliptical ROI was placed in unaffected parenchyma, avoiding vessels and artefacts. To assess interobserver agreement, a second subspecialist-trained radiologist performed image analysis of the perfusion data in the baseline studies of four of the patients.</w:t>
      </w:r>
    </w:p>
    <w:p w:rsidR="00F4098A" w:rsidRPr="00C86A36" w:rsidRDefault="00C86A36" w:rsidP="00C86A36">
      <w:pPr>
        <w:autoSpaceDE w:val="0"/>
        <w:autoSpaceDN w:val="0"/>
        <w:adjustRightInd w:val="0"/>
        <w:spacing w:after="0" w:line="480" w:lineRule="auto"/>
        <w:rPr>
          <w:rFonts w:ascii="Times New Roman" w:hAnsi="Times New Roman" w:cs="Times New Roman"/>
          <w:sz w:val="24"/>
          <w:szCs w:val="24"/>
          <w:lang w:val="en-US"/>
        </w:rPr>
      </w:pPr>
      <w:r w:rsidRPr="00BC52A2">
        <w:rPr>
          <w:rFonts w:ascii="Times New Roman" w:hAnsi="Times New Roman" w:cs="Times New Roman"/>
          <w:sz w:val="24"/>
          <w:szCs w:val="24"/>
          <w:lang w:val="en-US"/>
        </w:rPr>
        <w:t>The mean Dose-Length Product (DLP) value for the CTp was 1089.2 mGy x cm (range 831</w:t>
      </w:r>
      <w:r>
        <w:rPr>
          <w:rFonts w:ascii="Times New Roman" w:hAnsi="Times New Roman" w:cs="Times New Roman"/>
          <w:sz w:val="24"/>
          <w:szCs w:val="24"/>
          <w:lang w:val="en-US"/>
        </w:rPr>
        <w:t>–</w:t>
      </w:r>
      <w:r w:rsidRPr="00BC52A2">
        <w:rPr>
          <w:rFonts w:ascii="Times New Roman" w:hAnsi="Times New Roman" w:cs="Times New Roman"/>
          <w:sz w:val="24"/>
          <w:szCs w:val="24"/>
          <w:lang w:val="en-US"/>
        </w:rPr>
        <w:t>1414), whereas the mean DLP for the staging CT of the liver was 520.3 mGy x cm (range 224</w:t>
      </w:r>
      <w:r>
        <w:rPr>
          <w:rFonts w:ascii="Times New Roman" w:hAnsi="Times New Roman" w:cs="Times New Roman"/>
          <w:sz w:val="24"/>
          <w:szCs w:val="24"/>
          <w:lang w:val="en-US"/>
        </w:rPr>
        <w:t>–</w:t>
      </w:r>
      <w:r w:rsidRPr="00BC52A2">
        <w:rPr>
          <w:rFonts w:ascii="Times New Roman" w:hAnsi="Times New Roman" w:cs="Times New Roman"/>
          <w:sz w:val="24"/>
          <w:szCs w:val="24"/>
          <w:lang w:val="en-US"/>
        </w:rPr>
        <w:t>1185). Using the standard conversion coefficient for the abdomen (К = 0.018 mSV/(mGy x cm) the calculated mean effective radiation dose was 19.6 mSv and 9.4 mSv, respectively. The mean DLP for the entire study, displayed at the CT</w:t>
      </w:r>
      <w:r>
        <w:rPr>
          <w:rFonts w:ascii="Times New Roman" w:hAnsi="Times New Roman" w:cs="Times New Roman"/>
          <w:sz w:val="24"/>
          <w:szCs w:val="24"/>
          <w:lang w:val="en-US"/>
        </w:rPr>
        <w:t xml:space="preserve"> </w:t>
      </w:r>
      <w:r w:rsidRPr="00BC52A2">
        <w:rPr>
          <w:rFonts w:ascii="Times New Roman" w:hAnsi="Times New Roman" w:cs="Times New Roman"/>
          <w:sz w:val="24"/>
          <w:szCs w:val="24"/>
          <w:lang w:val="en-US"/>
        </w:rPr>
        <w:t>console, was 1865.7 mGy x cm (range 1274</w:t>
      </w:r>
      <w:r>
        <w:rPr>
          <w:rFonts w:ascii="Times New Roman" w:hAnsi="Times New Roman" w:cs="Times New Roman"/>
          <w:sz w:val="24"/>
          <w:szCs w:val="24"/>
          <w:lang w:val="en-US"/>
        </w:rPr>
        <w:t>–</w:t>
      </w:r>
      <w:r w:rsidRPr="00BC52A2">
        <w:rPr>
          <w:rFonts w:ascii="Times New Roman" w:hAnsi="Times New Roman" w:cs="Times New Roman"/>
          <w:sz w:val="24"/>
          <w:szCs w:val="24"/>
          <w:lang w:val="en-US"/>
        </w:rPr>
        <w:t xml:space="preserve">2954), corresponding to a mean effective dose of 33.6 mSv. </w:t>
      </w:r>
      <w:bookmarkStart w:id="0" w:name="_GoBack"/>
      <w:bookmarkEnd w:id="0"/>
    </w:p>
    <w:sectPr w:rsidR="00F4098A" w:rsidRPr="00C86A36">
      <w:footerReference w:type="even"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17" w:rsidRDefault="00C86A36" w:rsidP="00686E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EE1B17" w:rsidRDefault="00C86A36" w:rsidP="00BD2769">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17" w:rsidRDefault="00C86A36" w:rsidP="00686E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rsidR="00EE1B17" w:rsidRDefault="00C86A36" w:rsidP="00686E97">
    <w:pPr>
      <w:pStyle w:val="Sidfot"/>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1304"/>
  <w:hyphenationZone w:val="425"/>
  <w:drawingGridHorizontalSpacing w:val="181"/>
  <w:drawingGridVerticalSpacing w:val="18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36"/>
    <w:rsid w:val="00C86A36"/>
    <w:rsid w:val="00F4098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42EF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A36"/>
    <w:pPr>
      <w:spacing w:after="200" w:line="276" w:lineRule="auto"/>
    </w:pPr>
    <w:rPr>
      <w:rFonts w:eastAsiaTheme="minorHAnsi"/>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C86A36"/>
    <w:pPr>
      <w:tabs>
        <w:tab w:val="center" w:pos="4536"/>
        <w:tab w:val="right" w:pos="9072"/>
      </w:tabs>
      <w:spacing w:after="0" w:line="240" w:lineRule="auto"/>
    </w:pPr>
  </w:style>
  <w:style w:type="character" w:customStyle="1" w:styleId="SidfotChar">
    <w:name w:val="Sidfot Char"/>
    <w:basedOn w:val="Standardstycketypsnitt"/>
    <w:link w:val="Sidfot"/>
    <w:uiPriority w:val="99"/>
    <w:rsid w:val="00C86A36"/>
    <w:rPr>
      <w:rFonts w:eastAsiaTheme="minorHAnsi"/>
      <w:sz w:val="22"/>
      <w:szCs w:val="22"/>
      <w:lang w:eastAsia="en-US"/>
    </w:rPr>
  </w:style>
  <w:style w:type="character" w:styleId="Sidnummer">
    <w:name w:val="page number"/>
    <w:basedOn w:val="Standardstycketypsnitt"/>
    <w:uiPriority w:val="99"/>
    <w:semiHidden/>
    <w:unhideWhenUsed/>
    <w:rsid w:val="00C86A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A36"/>
    <w:pPr>
      <w:spacing w:after="200" w:line="276" w:lineRule="auto"/>
    </w:pPr>
    <w:rPr>
      <w:rFonts w:eastAsiaTheme="minorHAnsi"/>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C86A36"/>
    <w:pPr>
      <w:tabs>
        <w:tab w:val="center" w:pos="4536"/>
        <w:tab w:val="right" w:pos="9072"/>
      </w:tabs>
      <w:spacing w:after="0" w:line="240" w:lineRule="auto"/>
    </w:pPr>
  </w:style>
  <w:style w:type="character" w:customStyle="1" w:styleId="SidfotChar">
    <w:name w:val="Sidfot Char"/>
    <w:basedOn w:val="Standardstycketypsnitt"/>
    <w:link w:val="Sidfot"/>
    <w:uiPriority w:val="99"/>
    <w:rsid w:val="00C86A36"/>
    <w:rPr>
      <w:rFonts w:eastAsiaTheme="minorHAnsi"/>
      <w:sz w:val="22"/>
      <w:szCs w:val="22"/>
      <w:lang w:eastAsia="en-US"/>
    </w:rPr>
  </w:style>
  <w:style w:type="character" w:styleId="Sidnummer">
    <w:name w:val="page number"/>
    <w:basedOn w:val="Standardstycketypsnitt"/>
    <w:uiPriority w:val="99"/>
    <w:semiHidden/>
    <w:unhideWhenUsed/>
    <w:rsid w:val="00C86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3483</Characters>
  <Application>Microsoft Macintosh Word</Application>
  <DocSecurity>0</DocSecurity>
  <Lines>29</Lines>
  <Paragraphs>8</Paragraphs>
  <ScaleCrop>false</ScaleCrop>
  <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Sternby Eilard</dc:creator>
  <cp:keywords/>
  <dc:description/>
  <cp:lastModifiedBy>Malin Sternby Eilard</cp:lastModifiedBy>
  <cp:revision>1</cp:revision>
  <dcterms:created xsi:type="dcterms:W3CDTF">2018-06-13T19:40:00Z</dcterms:created>
  <dcterms:modified xsi:type="dcterms:W3CDTF">2018-06-13T19:41:00Z</dcterms:modified>
</cp:coreProperties>
</file>