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D9E" w:rsidRPr="00155D9E" w:rsidRDefault="00155D9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Table S4: Step 1 sensitivity </w:t>
      </w:r>
      <w:r w:rsidRPr="00710D4D">
        <w:rPr>
          <w:rFonts w:ascii="Arial Narrow" w:hAnsi="Arial Narrow"/>
        </w:rPr>
        <w:t xml:space="preserve">analysis. </w:t>
      </w:r>
      <w:r>
        <w:rPr>
          <w:rFonts w:ascii="Arial Narrow" w:hAnsi="Arial Narrow"/>
        </w:rPr>
        <w:t xml:space="preserve">Survival in association with </w:t>
      </w:r>
      <w:r w:rsidRPr="00710D4D">
        <w:rPr>
          <w:rFonts w:ascii="Arial Narrow" w:hAnsi="Arial Narrow"/>
        </w:rPr>
        <w:t xml:space="preserve">patients’ SEP </w:t>
      </w:r>
      <w:r>
        <w:rPr>
          <w:rFonts w:ascii="Arial Narrow" w:hAnsi="Arial Narrow"/>
        </w:rPr>
        <w:t>adjusted for treatment, patients’ and disease characteristics. A</w:t>
      </w:r>
      <w:r w:rsidRPr="00710D4D">
        <w:rPr>
          <w:rFonts w:ascii="Arial Narrow" w:hAnsi="Arial Narrow"/>
        </w:rPr>
        <w:t xml:space="preserve">djusted </w:t>
      </w:r>
      <w:r>
        <w:rPr>
          <w:rFonts w:ascii="Arial Narrow" w:hAnsi="Arial Narrow"/>
        </w:rPr>
        <w:t xml:space="preserve">hazard </w:t>
      </w:r>
      <w:r w:rsidRPr="00710D4D">
        <w:rPr>
          <w:rFonts w:ascii="Arial Narrow" w:hAnsi="Arial Narrow"/>
        </w:rPr>
        <w:t>ratios [95% Confidence Intervals]</w:t>
      </w:r>
      <w:r>
        <w:rPr>
          <w:rFonts w:ascii="Arial Narrow" w:hAnsi="Arial Narrow"/>
        </w:rPr>
        <w:t xml:space="preserve"> of overall mortality from </w:t>
      </w:r>
      <w:r w:rsidRPr="00710D4D">
        <w:rPr>
          <w:rFonts w:ascii="Arial Narrow" w:hAnsi="Arial Narrow"/>
        </w:rPr>
        <w:t xml:space="preserve">Adjusted </w:t>
      </w:r>
      <w:r>
        <w:rPr>
          <w:rFonts w:ascii="Arial Narrow" w:hAnsi="Arial Narrow"/>
        </w:rPr>
        <w:t>Cox proportional hazards model with time dependent variabl</w:t>
      </w:r>
      <w:bookmarkStart w:id="0" w:name="_GoBack"/>
      <w:bookmarkEnd w:id="0"/>
      <w:r>
        <w:rPr>
          <w:rFonts w:ascii="Arial Narrow" w:hAnsi="Arial Narrow"/>
        </w:rPr>
        <w:t>es (n=684).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1137"/>
        <w:gridCol w:w="567"/>
        <w:gridCol w:w="567"/>
        <w:gridCol w:w="567"/>
        <w:gridCol w:w="563"/>
        <w:gridCol w:w="566"/>
        <w:gridCol w:w="569"/>
        <w:gridCol w:w="563"/>
        <w:gridCol w:w="566"/>
        <w:gridCol w:w="569"/>
        <w:gridCol w:w="563"/>
        <w:gridCol w:w="566"/>
        <w:gridCol w:w="569"/>
        <w:gridCol w:w="434"/>
        <w:gridCol w:w="557"/>
        <w:gridCol w:w="569"/>
        <w:gridCol w:w="456"/>
        <w:gridCol w:w="529"/>
        <w:gridCol w:w="471"/>
        <w:gridCol w:w="551"/>
        <w:gridCol w:w="557"/>
        <w:gridCol w:w="600"/>
        <w:gridCol w:w="545"/>
        <w:gridCol w:w="597"/>
        <w:gridCol w:w="609"/>
      </w:tblGrid>
      <w:tr w:rsidR="003D2319" w:rsidRPr="00144C37" w:rsidTr="00155D9E">
        <w:trPr>
          <w:trHeight w:val="229"/>
        </w:trPr>
        <w:tc>
          <w:tcPr>
            <w:tcW w:w="688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n=68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552" w:type="pct"/>
            <w:gridSpan w:val="3"/>
            <w:vMerge w:val="restar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Model 5.0 (M3.0)</w:t>
            </w:r>
          </w:p>
        </w:tc>
        <w:tc>
          <w:tcPr>
            <w:tcW w:w="552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5.1</w:t>
            </w:r>
          </w:p>
        </w:tc>
        <w:tc>
          <w:tcPr>
            <w:tcW w:w="552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5.2</w:t>
            </w:r>
          </w:p>
        </w:tc>
        <w:tc>
          <w:tcPr>
            <w:tcW w:w="552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5.3</w:t>
            </w:r>
          </w:p>
        </w:tc>
        <w:tc>
          <w:tcPr>
            <w:tcW w:w="507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5.4</w:t>
            </w:r>
          </w:p>
        </w:tc>
        <w:tc>
          <w:tcPr>
            <w:tcW w:w="473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5.5</w:t>
            </w:r>
          </w:p>
        </w:tc>
        <w:tc>
          <w:tcPr>
            <w:tcW w:w="555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5.6</w:t>
            </w:r>
          </w:p>
        </w:tc>
        <w:tc>
          <w:tcPr>
            <w:tcW w:w="570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5.7</w:t>
            </w:r>
          </w:p>
        </w:tc>
      </w:tr>
      <w:tr w:rsidR="003D2319" w:rsidRPr="00144C37" w:rsidTr="00155D9E">
        <w:trPr>
          <w:trHeight w:val="240"/>
        </w:trPr>
        <w:tc>
          <w:tcPr>
            <w:tcW w:w="688" w:type="pct"/>
            <w:gridSpan w:val="2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552" w:type="pct"/>
            <w:gridSpan w:val="3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552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M5.0 + perf. status</w:t>
            </w:r>
          </w:p>
        </w:tc>
        <w:tc>
          <w:tcPr>
            <w:tcW w:w="552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M5.0 + AML ont</w:t>
            </w:r>
          </w:p>
        </w:tc>
        <w:tc>
          <w:tcPr>
            <w:tcW w:w="552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M5.0 + WBC.</w:t>
            </w:r>
          </w:p>
        </w:tc>
        <w:tc>
          <w:tcPr>
            <w:tcW w:w="507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M5.0 + cyto. Progn.</w:t>
            </w:r>
          </w:p>
        </w:tc>
        <w:tc>
          <w:tcPr>
            <w:tcW w:w="473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M5.0 + treatment</w:t>
            </w:r>
          </w:p>
        </w:tc>
        <w:tc>
          <w:tcPr>
            <w:tcW w:w="555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All but treatment</w:t>
            </w:r>
          </w:p>
        </w:tc>
        <w:tc>
          <w:tcPr>
            <w:tcW w:w="570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Fully adjusted</w:t>
            </w:r>
          </w:p>
        </w:tc>
      </w:tr>
      <w:tr w:rsidR="003D2319" w:rsidRPr="00144C37" w:rsidTr="00155D9E">
        <w:trPr>
          <w:trHeight w:val="240"/>
        </w:trPr>
        <w:tc>
          <w:tcPr>
            <w:tcW w:w="688" w:type="pct"/>
            <w:gridSpan w:val="2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Main components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HR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183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HR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183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HR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183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HR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141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HR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148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HR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53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179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HR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95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177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HR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</w:tr>
      <w:tr w:rsidR="003D2319" w:rsidRPr="00144C37" w:rsidTr="00155D9E">
        <w:trPr>
          <w:trHeight w:val="240"/>
        </w:trPr>
        <w:tc>
          <w:tcPr>
            <w:tcW w:w="688" w:type="pct"/>
            <w:gridSpan w:val="2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Age</w:t>
            </w:r>
          </w:p>
        </w:tc>
        <w:tc>
          <w:tcPr>
            <w:tcW w:w="184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1.04</w:t>
            </w:r>
          </w:p>
        </w:tc>
        <w:tc>
          <w:tcPr>
            <w:tcW w:w="184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1.03</w:t>
            </w:r>
          </w:p>
        </w:tc>
        <w:tc>
          <w:tcPr>
            <w:tcW w:w="184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1.04</w:t>
            </w:r>
          </w:p>
        </w:tc>
        <w:tc>
          <w:tcPr>
            <w:tcW w:w="184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1.04</w:t>
            </w:r>
          </w:p>
        </w:tc>
        <w:tc>
          <w:tcPr>
            <w:tcW w:w="184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1.03</w:t>
            </w:r>
          </w:p>
        </w:tc>
        <w:tc>
          <w:tcPr>
            <w:tcW w:w="181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8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</w:p>
        </w:tc>
        <w:tc>
          <w:tcPr>
            <w:tcW w:w="172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3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9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1.03</w:t>
            </w:r>
          </w:p>
        </w:tc>
        <w:tc>
          <w:tcPr>
            <w:tcW w:w="181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Sex</w:t>
            </w:r>
          </w:p>
        </w:tc>
        <w:tc>
          <w:tcPr>
            <w:tcW w:w="368" w:type="pc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Men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7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9" w:type="pc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3D2319" w:rsidRPr="00144C37" w:rsidTr="00155D9E">
        <w:trPr>
          <w:trHeight w:val="240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Women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Patients’ SEP (quintile of deprivation score)</w:t>
            </w:r>
          </w:p>
        </w:tc>
        <w:tc>
          <w:tcPr>
            <w:tcW w:w="368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Q1 – least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Q2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1.13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1.11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1.08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1.15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1.06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0.99</w:t>
            </w: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1.02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0.96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Q3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0.89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0.86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0.85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0.89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0.89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0.86</w:t>
            </w: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0.82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0.81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Q4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1.05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1.02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1.06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1.04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0.99</w:t>
            </w: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0.98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0.93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40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Q5 – most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1.34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1.32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1.27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1.40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1.87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1.27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1.30</w:t>
            </w:r>
          </w:p>
        </w:tc>
        <w:tc>
          <w:tcPr>
            <w:tcW w:w="1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1.25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Charlson comorbidity index</w:t>
            </w:r>
          </w:p>
        </w:tc>
        <w:tc>
          <w:tcPr>
            <w:tcW w:w="36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1.12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1.04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1.11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1.16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1.11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1.03</w:t>
            </w: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1.08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2+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1.29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1.18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1.23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1.29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1.37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1.11</w:t>
            </w: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1.22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1.11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40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Undefined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2.28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2.92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2.00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2.63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2.06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2.68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2.21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2.85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2.11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2.73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1.39</w:t>
            </w:r>
          </w:p>
        </w:tc>
        <w:tc>
          <w:tcPr>
            <w:tcW w:w="1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1.83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1.77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2.39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1.83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Performance status</w:t>
            </w:r>
          </w:p>
        </w:tc>
        <w:tc>
          <w:tcPr>
            <w:tcW w:w="368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0/1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1.54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1.52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1.44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1.86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3/4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2.50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1.83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3.41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2.05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2.85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1.69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2.35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40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Undefined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1.88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2.59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1.61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2.28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1.20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AML ontogeny</w:t>
            </w:r>
          </w:p>
        </w:tc>
        <w:tc>
          <w:tcPr>
            <w:tcW w:w="368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AML de novo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104" w:type="pct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Secondary AML (post treatment / MDS)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1.22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1.18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1.07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40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Undefined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1.53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2.43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1.47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2.40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2.22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White blood cell (WBC) counts (tercile) </w:t>
            </w:r>
          </w:p>
        </w:tc>
        <w:tc>
          <w:tcPr>
            <w:tcW w:w="368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Tercile 1 – low 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21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Terticle 2 – intermediate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1.35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1.29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1.26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21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Terticle 3 – high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2.06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2.80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1.96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2.68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2.13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2.93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40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Undefined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2.55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4.88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2.04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4.11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4.10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Cytogenetic prognosis</w:t>
            </w:r>
          </w:p>
        </w:tc>
        <w:tc>
          <w:tcPr>
            <w:tcW w:w="553" w:type="pct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Favorable/Intermediate</w:t>
            </w: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Unfavorable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1.96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2.37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1.98</w:t>
            </w: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2.40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1.72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2.11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40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Undefinable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2.03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2.84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1.91</w:t>
            </w:r>
          </w:p>
        </w:tc>
        <w:tc>
          <w:tcPr>
            <w:tcW w:w="1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2.73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2.17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Treatment</w:t>
            </w:r>
          </w:p>
        </w:tc>
        <w:tc>
          <w:tcPr>
            <w:tcW w:w="921" w:type="pct"/>
            <w:gridSpan w:val="4"/>
            <w:tcBorders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Intensive chemotherapy</w:t>
            </w: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5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3D2319" w:rsidRPr="00144C37" w:rsidTr="00155D9E">
        <w:trPr>
          <w:trHeight w:val="229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21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Low intensive therapy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1.56</w:t>
            </w:r>
          </w:p>
        </w:tc>
        <w:tc>
          <w:tcPr>
            <w:tcW w:w="1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1.39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1.84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40"/>
        </w:trPr>
        <w:tc>
          <w:tcPr>
            <w:tcW w:w="319" w:type="pct"/>
            <w:vMerge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21" w:type="pct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Best supportive care</w:t>
            </w:r>
          </w:p>
        </w:tc>
        <w:tc>
          <w:tcPr>
            <w:tcW w:w="18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4.15</w:t>
            </w:r>
          </w:p>
        </w:tc>
        <w:tc>
          <w:tcPr>
            <w:tcW w:w="17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3.00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5.73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17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3.18</w:t>
            </w:r>
          </w:p>
        </w:tc>
        <w:tc>
          <w:tcPr>
            <w:tcW w:w="19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2.21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9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4.58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3D2319" w:rsidRPr="00144C37" w:rsidTr="00155D9E">
        <w:trPr>
          <w:trHeight w:val="240"/>
        </w:trPr>
        <w:tc>
          <w:tcPr>
            <w:tcW w:w="1240" w:type="pct"/>
            <w:gridSpan w:val="5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Time varying component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3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3D2319" w:rsidRPr="00144C37" w:rsidTr="00155D9E">
        <w:trPr>
          <w:trHeight w:val="240"/>
        </w:trPr>
        <w:tc>
          <w:tcPr>
            <w:tcW w:w="1240" w:type="pct"/>
            <w:gridSpan w:val="5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Time * Performance status</w:t>
            </w:r>
          </w:p>
        </w:tc>
        <w:tc>
          <w:tcPr>
            <w:tcW w:w="552" w:type="pct"/>
            <w:gridSpan w:val="3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0.9998 [0.9997;0.9999]</w:t>
            </w:r>
          </w:p>
        </w:tc>
        <w:tc>
          <w:tcPr>
            <w:tcW w:w="552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1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3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555" w:type="pct"/>
            <w:gridSpan w:val="3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0.9999 [0.9998; 1.0000]</w:t>
            </w:r>
          </w:p>
        </w:tc>
        <w:tc>
          <w:tcPr>
            <w:tcW w:w="570" w:type="pct"/>
            <w:gridSpan w:val="3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0.9999 [0.9998; 1.0000]</w:t>
            </w:r>
          </w:p>
        </w:tc>
      </w:tr>
      <w:tr w:rsidR="003D2319" w:rsidRPr="00144C37" w:rsidTr="00155D9E">
        <w:trPr>
          <w:trHeight w:val="240"/>
        </w:trPr>
        <w:tc>
          <w:tcPr>
            <w:tcW w:w="1240" w:type="pct"/>
            <w:gridSpan w:val="5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Time * White blood cell counts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52" w:type="pct"/>
            <w:gridSpan w:val="3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0.9993 [0.9990; 0.9996]</w:t>
            </w:r>
          </w:p>
        </w:tc>
        <w:tc>
          <w:tcPr>
            <w:tcW w:w="507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73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55" w:type="pct"/>
            <w:gridSpan w:val="3"/>
            <w:shd w:val="clear" w:color="auto" w:fill="auto"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0.9993 [0.9989; 0.9996]</w:t>
            </w:r>
          </w:p>
        </w:tc>
        <w:tc>
          <w:tcPr>
            <w:tcW w:w="570" w:type="pct"/>
            <w:gridSpan w:val="3"/>
            <w:shd w:val="clear" w:color="auto" w:fill="auto"/>
            <w:noWrap/>
            <w:vAlign w:val="center"/>
            <w:hideMark/>
          </w:tcPr>
          <w:p w:rsidR="003D2319" w:rsidRPr="007E3F3C" w:rsidRDefault="003D231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7E3F3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0.9992 [0.9990; 0.9996]</w:t>
            </w:r>
          </w:p>
        </w:tc>
      </w:tr>
    </w:tbl>
    <w:p w:rsidR="009D6D0E" w:rsidRDefault="009D6D0E"/>
    <w:sectPr w:rsidR="009D6D0E" w:rsidSect="003D2319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19"/>
    <w:rsid w:val="00155D9E"/>
    <w:rsid w:val="003D2319"/>
    <w:rsid w:val="004D0592"/>
    <w:rsid w:val="009D6D0E"/>
    <w:rsid w:val="00AA0ECE"/>
    <w:rsid w:val="00B7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4ED7"/>
  <w15:chartTrackingRefBased/>
  <w15:docId w15:val="{EBF0ABD8-8F93-B847-A62E-195FAC9A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319"/>
    <w:pPr>
      <w:spacing w:after="160" w:line="259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605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Berger</dc:creator>
  <cp:keywords/>
  <dc:description/>
  <cp:lastModifiedBy>Eloise Berger</cp:lastModifiedBy>
  <cp:revision>2</cp:revision>
  <dcterms:created xsi:type="dcterms:W3CDTF">2019-05-21T09:17:00Z</dcterms:created>
  <dcterms:modified xsi:type="dcterms:W3CDTF">2019-05-21T12:17:00Z</dcterms:modified>
</cp:coreProperties>
</file>