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FE" w:rsidRDefault="00304B54" w:rsidP="008741F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5pt;height:129.6pt">
            <v:imagedata r:id="rId4" o:title="bmc figury supplement"/>
          </v:shape>
        </w:pict>
      </w:r>
    </w:p>
    <w:p w:rsidR="008741FE" w:rsidRDefault="008741FE" w:rsidP="00874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352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19722E"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A0352F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Apoptosis of glioblastoma</w:t>
      </w:r>
      <w:r w:rsidRPr="00A0352F">
        <w:rPr>
          <w:rFonts w:ascii="Times New Roman" w:hAnsi="Times New Roman" w:cs="Times New Roman"/>
          <w:sz w:val="24"/>
          <w:szCs w:val="24"/>
        </w:rPr>
        <w:t xml:space="preserve"> cells. Representative images showing </w:t>
      </w:r>
      <w:r>
        <w:rPr>
          <w:rFonts w:ascii="Times New Roman" w:hAnsi="Times New Roman" w:cs="Times New Roman"/>
          <w:sz w:val="24"/>
          <w:szCs w:val="24"/>
        </w:rPr>
        <w:t xml:space="preserve">classical apoptotic nuclei with TP53 accumulation (A) as well as </w:t>
      </w:r>
      <w:r w:rsidRPr="00A0352F">
        <w:rPr>
          <w:rFonts w:ascii="Times New Roman" w:hAnsi="Times New Roman" w:cs="Times New Roman"/>
          <w:sz w:val="24"/>
          <w:szCs w:val="24"/>
        </w:rPr>
        <w:t>activity of the synthetic Caspase 3/7 reporter in early passages</w:t>
      </w:r>
      <w:r>
        <w:rPr>
          <w:rFonts w:ascii="Times New Roman" w:hAnsi="Times New Roman" w:cs="Times New Roman"/>
          <w:sz w:val="24"/>
          <w:szCs w:val="24"/>
        </w:rPr>
        <w:t xml:space="preserve"> of GB9. The number of Caspase 3/7</w:t>
      </w:r>
      <w:r w:rsidRPr="00A0352F">
        <w:rPr>
          <w:rFonts w:ascii="Times New Roman" w:hAnsi="Times New Roman" w:cs="Times New Roman"/>
          <w:sz w:val="24"/>
          <w:szCs w:val="24"/>
        </w:rPr>
        <w:t xml:space="preserve"> positive cells was higher in NSC-like conditions </w:t>
      </w:r>
      <w:r>
        <w:rPr>
          <w:rFonts w:ascii="Times New Roman" w:hAnsi="Times New Roman" w:cs="Times New Roman"/>
          <w:sz w:val="24"/>
          <w:szCs w:val="24"/>
        </w:rPr>
        <w:t>(C</w:t>
      </w:r>
      <w:r w:rsidRPr="00A0352F">
        <w:rPr>
          <w:rFonts w:ascii="Times New Roman" w:hAnsi="Times New Roman" w:cs="Times New Roman"/>
          <w:sz w:val="24"/>
          <w:szCs w:val="24"/>
        </w:rPr>
        <w:t xml:space="preserve">) than in </w:t>
      </w:r>
      <w:r>
        <w:rPr>
          <w:rFonts w:ascii="Times New Roman" w:hAnsi="Times New Roman" w:cs="Times New Roman"/>
          <w:sz w:val="24"/>
          <w:szCs w:val="24"/>
        </w:rPr>
        <w:t>monolayer (B</w:t>
      </w:r>
      <w:r w:rsidRPr="00A0352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(quantitative</w:t>
      </w:r>
      <w:r w:rsidRPr="00A0352F">
        <w:rPr>
          <w:rFonts w:ascii="Times New Roman" w:hAnsi="Times New Roman" w:cs="Times New Roman"/>
          <w:sz w:val="24"/>
          <w:szCs w:val="24"/>
        </w:rPr>
        <w:t xml:space="preserve"> data are shown in Figure 3</w:t>
      </w:r>
      <w:r>
        <w:rPr>
          <w:rFonts w:ascii="Times New Roman" w:hAnsi="Times New Roman" w:cs="Times New Roman"/>
          <w:sz w:val="24"/>
          <w:szCs w:val="24"/>
        </w:rPr>
        <w:t>G-K and Suppl. Tab. 4</w:t>
      </w:r>
      <w:r w:rsidRPr="00A0352F">
        <w:rPr>
          <w:rFonts w:ascii="Times New Roman" w:hAnsi="Times New Roman" w:cs="Times New Roman"/>
          <w:sz w:val="24"/>
          <w:szCs w:val="24"/>
        </w:rPr>
        <w:t>).</w:t>
      </w:r>
    </w:p>
    <w:p w:rsidR="008741FE" w:rsidRPr="009E4692" w:rsidRDefault="008741FE" w:rsidP="00874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1FE" w:rsidRPr="0004595B" w:rsidRDefault="008741FE" w:rsidP="008741FE">
      <w:pPr>
        <w:rPr>
          <w:rFonts w:ascii="Times New Roman" w:hAnsi="Times New Roman" w:cs="Times New Roman"/>
          <w:sz w:val="24"/>
          <w:szCs w:val="24"/>
        </w:rPr>
      </w:pPr>
    </w:p>
    <w:p w:rsidR="008741FE" w:rsidRPr="0004595B" w:rsidRDefault="008741FE" w:rsidP="008741FE"/>
    <w:p w:rsidR="00382BB8" w:rsidRPr="008741FE" w:rsidRDefault="00382BB8" w:rsidP="008741FE"/>
    <w:sectPr w:rsidR="00382BB8" w:rsidRPr="008741FE" w:rsidSect="00D70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20"/>
  <w:hyphenationZone w:val="425"/>
  <w:characterSpacingControl w:val="doNotCompress"/>
  <w:compat/>
  <w:docVars>
    <w:docVar w:name="Total_Editing_Time" w:val="0"/>
  </w:docVars>
  <w:rsids>
    <w:rsidRoot w:val="00D91E22"/>
    <w:rsid w:val="000D6DA3"/>
    <w:rsid w:val="0019722E"/>
    <w:rsid w:val="002D7865"/>
    <w:rsid w:val="00304B54"/>
    <w:rsid w:val="00382BB8"/>
    <w:rsid w:val="00513395"/>
    <w:rsid w:val="005E11F9"/>
    <w:rsid w:val="00635140"/>
    <w:rsid w:val="008741FE"/>
    <w:rsid w:val="009C5C52"/>
    <w:rsid w:val="00B423F0"/>
    <w:rsid w:val="00D70B47"/>
    <w:rsid w:val="00D91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0B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GridTable41">
    <w:name w:val="Grid Table 41"/>
    <w:basedOn w:val="Standardowy"/>
    <w:uiPriority w:val="49"/>
    <w:rsid w:val="00635140"/>
    <w:pPr>
      <w:spacing w:after="0" w:line="240" w:lineRule="auto"/>
    </w:pPr>
    <w:rPr>
      <w:rFonts w:ascii="Calibri" w:hAnsi="Calibri"/>
      <w:lang w:val="pl-PL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ela-Siatka">
    <w:name w:val="Table Grid"/>
    <w:basedOn w:val="Standardowy"/>
    <w:uiPriority w:val="59"/>
    <w:rsid w:val="005E11F9"/>
    <w:pPr>
      <w:spacing w:after="0" w:line="240" w:lineRule="auto"/>
    </w:pPr>
    <w:rPr>
      <w:rFonts w:eastAsiaTheme="minorEastAsia"/>
      <w:lang w:val="pl-PL" w:eastAsia="pl-PL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E11F9"/>
    <w:pPr>
      <w:spacing w:after="0" w:line="240" w:lineRule="auto"/>
    </w:pPr>
    <w:rPr>
      <w:rFonts w:ascii="Tahoma" w:hAnsi="Tahoma" w:cs="Tahoma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F9"/>
    <w:rPr>
      <w:rFonts w:ascii="Tahoma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E11F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E11F9"/>
    <w:rPr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5E11F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5E11F9"/>
    <w:rPr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1">
    <w:name w:val="Grid Table 41"/>
    <w:basedOn w:val="TableNormal"/>
    <w:uiPriority w:val="49"/>
    <w:rsid w:val="00635140"/>
    <w:pPr>
      <w:spacing w:after="0" w:line="240" w:lineRule="auto"/>
    </w:pPr>
    <w:rPr>
      <w:rFonts w:ascii="Calibri" w:hAnsi="Calibri"/>
      <w:lang w:val="pl-P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TableGrid">
    <w:name w:val="Table Grid"/>
    <w:basedOn w:val="TableNormal"/>
    <w:uiPriority w:val="59"/>
    <w:rsid w:val="005E11F9"/>
    <w:pPr>
      <w:spacing w:after="0" w:line="240" w:lineRule="auto"/>
    </w:pPr>
    <w:rPr>
      <w:rFonts w:eastAsiaTheme="minorEastAsia"/>
      <w:lang w:val="pl-PL"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1F9"/>
    <w:pPr>
      <w:spacing w:after="0" w:line="240" w:lineRule="auto"/>
    </w:pPr>
    <w:rPr>
      <w:rFonts w:ascii="Tahoma" w:hAnsi="Tahoma" w:cs="Tahoma"/>
      <w:sz w:val="16"/>
      <w:szCs w:val="16"/>
      <w:lang w:val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1F9"/>
    <w:rPr>
      <w:rFonts w:ascii="Tahoma" w:hAnsi="Tahoma" w:cs="Tahoma"/>
      <w:sz w:val="16"/>
      <w:szCs w:val="16"/>
      <w:lang w:val="pl-PL"/>
    </w:rPr>
  </w:style>
  <w:style w:type="paragraph" w:styleId="Header">
    <w:name w:val="header"/>
    <w:basedOn w:val="Normal"/>
    <w:link w:val="HeaderChar"/>
    <w:uiPriority w:val="99"/>
    <w:semiHidden/>
    <w:unhideWhenUsed/>
    <w:rsid w:val="005E11F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E11F9"/>
    <w:rPr>
      <w:lang w:val="pl-PL"/>
    </w:rPr>
  </w:style>
  <w:style w:type="paragraph" w:styleId="Footer">
    <w:name w:val="footer"/>
    <w:basedOn w:val="Normal"/>
    <w:link w:val="FooterChar"/>
    <w:uiPriority w:val="99"/>
    <w:semiHidden/>
    <w:unhideWhenUsed/>
    <w:rsid w:val="005E11F9"/>
    <w:pPr>
      <w:tabs>
        <w:tab w:val="center" w:pos="4536"/>
        <w:tab w:val="right" w:pos="9072"/>
      </w:tabs>
      <w:spacing w:after="0" w:line="240" w:lineRule="auto"/>
    </w:pPr>
    <w:rPr>
      <w:lang w:val="pl-P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E11F9"/>
    <w:rPr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Kamila</cp:lastModifiedBy>
  <cp:revision>5</cp:revision>
  <dcterms:created xsi:type="dcterms:W3CDTF">2019-09-05T17:53:00Z</dcterms:created>
  <dcterms:modified xsi:type="dcterms:W3CDTF">2019-09-07T13:07:00Z</dcterms:modified>
</cp:coreProperties>
</file>