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rPr>
          <w:rFonts w:hint="eastAsia" w:ascii="Times New Roman" w:hAnsi="Times New Roman" w:cs="Times New Roman"/>
          <w:color w:val="auto"/>
          <w:sz w:val="24"/>
          <w:szCs w:val="24"/>
          <w:lang w:val="en-US" w:eastAsia="zh-CN"/>
        </w:rPr>
      </w:pPr>
      <w:r>
        <w:rPr>
          <w:rFonts w:hint="eastAsia" w:ascii="Times New Roman" w:hAnsi="Times New Roman" w:cs="Times New Roman"/>
          <w:color w:val="auto"/>
          <w:sz w:val="24"/>
          <w:szCs w:val="24"/>
          <w:lang w:val="en-US" w:eastAsia="zh-CN"/>
        </w:rPr>
        <w:t xml:space="preserve">Addttional file: </w:t>
      </w:r>
    </w:p>
    <w:p>
      <w:pPr>
        <w:spacing w:line="360" w:lineRule="auto"/>
        <w:rPr>
          <w:rFonts w:eastAsia="Times New Roman"/>
          <w:b/>
          <w:bCs/>
          <w:sz w:val="24"/>
        </w:rPr>
      </w:pPr>
    </w:p>
    <w:p>
      <w:pPr>
        <w:spacing w:line="360" w:lineRule="auto"/>
        <w:rPr>
          <w:rFonts w:eastAsia="Times New Roman"/>
          <w:b/>
          <w:bCs/>
          <w:sz w:val="24"/>
        </w:rPr>
      </w:pPr>
      <w:r>
        <w:rPr>
          <w:rFonts w:eastAsia="Times New Roman"/>
          <w:b/>
          <w:bCs/>
          <w:sz w:val="24"/>
        </w:rPr>
        <w:t>Mixed lymphocyte reaction (MLR)</w:t>
      </w:r>
    </w:p>
    <w:p>
      <w:pPr>
        <w:spacing w:line="360" w:lineRule="auto"/>
        <w:rPr>
          <w:sz w:val="24"/>
          <w:shd w:val="clear" w:color="auto" w:fill="FFFFFF"/>
        </w:rPr>
      </w:pPr>
      <w:r>
        <w:rPr>
          <w:rFonts w:eastAsia="Times New Roman"/>
          <w:sz w:val="24"/>
        </w:rPr>
        <w:t>P</w:t>
      </w:r>
      <w:r>
        <w:rPr>
          <w:sz w:val="24"/>
        </w:rPr>
        <w:t>eripheral blood monocytes (PBMC) were isolated from freshly-collected heparin-treated blood</w:t>
      </w:r>
      <w:r>
        <w:rPr>
          <w:rFonts w:eastAsia="Times New Roman"/>
          <w:sz w:val="24"/>
        </w:rPr>
        <w:t xml:space="preserve"> </w:t>
      </w:r>
      <w:r>
        <w:rPr>
          <w:sz w:val="24"/>
        </w:rPr>
        <w:t>by density gradient centrifugation. Subsequently, 5 × 10</w:t>
      </w:r>
      <w:r>
        <w:rPr>
          <w:rFonts w:eastAsia="Times New Roman"/>
          <w:sz w:val="24"/>
          <w:vertAlign w:val="superscript"/>
        </w:rPr>
        <w:t>6</w:t>
      </w:r>
      <w:r>
        <w:rPr>
          <w:rFonts w:eastAsia="Times New Roman"/>
          <w:sz w:val="24"/>
        </w:rPr>
        <w:t xml:space="preserve"> </w:t>
      </w:r>
      <w:r>
        <w:rPr>
          <w:sz w:val="24"/>
        </w:rPr>
        <w:t>cells/mL were</w:t>
      </w:r>
      <w:r>
        <w:rPr>
          <w:rFonts w:eastAsia="Times New Roman"/>
          <w:sz w:val="24"/>
        </w:rPr>
        <w:t xml:space="preserve"> </w:t>
      </w:r>
      <w:r>
        <w:rPr>
          <w:sz w:val="24"/>
        </w:rPr>
        <w:t>cultured for 2–4 h to permit cell adherence</w:t>
      </w:r>
      <w:r>
        <w:rPr>
          <w:rFonts w:eastAsia="Times New Roman"/>
          <w:sz w:val="24"/>
        </w:rPr>
        <w:t xml:space="preserve"> and t</w:t>
      </w:r>
      <w:r>
        <w:rPr>
          <w:sz w:val="24"/>
        </w:rPr>
        <w:t xml:space="preserve">he adherent cells </w:t>
      </w:r>
      <w:r>
        <w:rPr>
          <w:rFonts w:eastAsia="Times New Roman"/>
          <w:sz w:val="24"/>
        </w:rPr>
        <w:t>acted as monocytes. N</w:t>
      </w:r>
      <w:r>
        <w:rPr>
          <w:sz w:val="24"/>
        </w:rPr>
        <w:t>onadherent cells</w:t>
      </w:r>
      <w:r>
        <w:rPr>
          <w:rFonts w:eastAsia="Times New Roman"/>
          <w:sz w:val="24"/>
        </w:rPr>
        <w:t xml:space="preserve"> </w:t>
      </w:r>
      <w:r>
        <w:rPr>
          <w:sz w:val="24"/>
        </w:rPr>
        <w:t xml:space="preserve">were </w:t>
      </w:r>
      <w:r>
        <w:rPr>
          <w:rFonts w:eastAsia="BemboStd"/>
          <w:sz w:val="24"/>
        </w:rPr>
        <w:t xml:space="preserve">further depleted of normal B cells using CD19 micro beads (Miltenyi Biotec), which acted as T cells. </w:t>
      </w:r>
      <w:r>
        <w:rPr>
          <w:rFonts w:eastAsia="Times New Roman"/>
          <w:sz w:val="24"/>
        </w:rPr>
        <w:t>T cells in the monocyte-depleted and B-cell-depleted population were &gt;95%. CD14</w:t>
      </w:r>
      <w:r>
        <w:rPr>
          <w:rFonts w:eastAsia="Times New Roman"/>
          <w:sz w:val="24"/>
          <w:vertAlign w:val="superscript"/>
        </w:rPr>
        <w:t>+</w:t>
      </w:r>
      <w:r>
        <w:rPr>
          <w:rFonts w:eastAsia="Times New Roman"/>
          <w:sz w:val="24"/>
        </w:rPr>
        <w:t xml:space="preserve"> monocytes in adherent cells were &gt;60%. RPMI8266 cells </w:t>
      </w:r>
      <w:r>
        <w:rPr>
          <w:sz w:val="24"/>
        </w:rPr>
        <w:t>treated with IFN-γ (Shanghai Prime Gene Bio-Tech</w:t>
      </w:r>
      <w:r>
        <w:rPr>
          <w:rFonts w:eastAsia="Times New Roman"/>
          <w:sz w:val="24"/>
        </w:rPr>
        <w:t xml:space="preserve"> </w:t>
      </w:r>
      <w:r>
        <w:rPr>
          <w:sz w:val="24"/>
        </w:rPr>
        <w:t>Co., Shanghai, China) and BCGV for 48 h</w:t>
      </w:r>
      <w:r>
        <w:rPr>
          <w:rFonts w:eastAsia="Times New Roman"/>
          <w:sz w:val="24"/>
        </w:rPr>
        <w:t xml:space="preserve"> (treated-RPMI8266) were irradiated with 30 Gy from a </w:t>
      </w:r>
      <w:r>
        <w:rPr>
          <w:rFonts w:eastAsia="Times New Roman"/>
          <w:sz w:val="24"/>
          <w:vertAlign w:val="superscript"/>
        </w:rPr>
        <w:t>137</w:t>
      </w:r>
      <w:r>
        <w:rPr>
          <w:rFonts w:eastAsia="Times New Roman"/>
          <w:sz w:val="24"/>
        </w:rPr>
        <w:t>Cs source and added in a gradient as stimulators to a 96-well round-bottomed microtitre plate, each well containing 200 µL of 1</w:t>
      </w:r>
      <w:r>
        <w:rPr>
          <w:sz w:val="24"/>
        </w:rPr>
        <w:t xml:space="preserve">× </w:t>
      </w:r>
      <w:r>
        <w:rPr>
          <w:rFonts w:eastAsia="Times New Roman"/>
          <w:sz w:val="24"/>
        </w:rPr>
        <w:t>10</w:t>
      </w:r>
      <w:r>
        <w:rPr>
          <w:rFonts w:eastAsia="Times New Roman"/>
          <w:sz w:val="24"/>
          <w:vertAlign w:val="superscript"/>
        </w:rPr>
        <w:t>5</w:t>
      </w:r>
      <w:r>
        <w:rPr>
          <w:rFonts w:eastAsia="Times New Roman"/>
          <w:sz w:val="24"/>
        </w:rPr>
        <w:t xml:space="preserve"> allogenic T cells</w:t>
      </w:r>
      <w:r>
        <w:rPr>
          <w:rFonts w:hint="eastAsia"/>
          <w:sz w:val="24"/>
        </w:rPr>
        <w:t xml:space="preserve"> (experimental well)</w:t>
      </w:r>
      <w:r>
        <w:rPr>
          <w:sz w:val="24"/>
        </w:rPr>
        <w:t>.</w:t>
      </w:r>
      <w:r>
        <w:rPr>
          <w:rFonts w:eastAsia="Times New Roman"/>
          <w:sz w:val="24"/>
        </w:rPr>
        <w:t xml:space="preserve"> </w:t>
      </w:r>
      <w:r>
        <w:rPr>
          <w:rFonts w:hint="eastAsia"/>
          <w:sz w:val="24"/>
        </w:rPr>
        <w:t>The well of a</w:t>
      </w:r>
      <w:r>
        <w:rPr>
          <w:rFonts w:eastAsia="Times New Roman"/>
          <w:sz w:val="24"/>
        </w:rPr>
        <w:t>llogenic T cells</w:t>
      </w:r>
      <w:r>
        <w:rPr>
          <w:rFonts w:hint="eastAsia"/>
          <w:sz w:val="24"/>
        </w:rPr>
        <w:t xml:space="preserve"> alone was as control.</w:t>
      </w:r>
      <w:r>
        <w:rPr>
          <w:sz w:val="24"/>
        </w:rPr>
        <w:t xml:space="preserve"> Colorimetric assays were performed in order to evaluate the proliferation of</w:t>
      </w:r>
      <w:r>
        <w:rPr>
          <w:rFonts w:eastAsia="Times New Roman"/>
          <w:sz w:val="24"/>
        </w:rPr>
        <w:t xml:space="preserve"> T cells by</w:t>
      </w:r>
      <w:r>
        <w:rPr>
          <w:sz w:val="24"/>
        </w:rPr>
        <w:t xml:space="preserve"> treated-MM cells</w:t>
      </w:r>
      <w:r>
        <w:rPr>
          <w:rFonts w:hint="eastAsia"/>
          <w:sz w:val="24"/>
        </w:rPr>
        <w:t xml:space="preserve"> </w:t>
      </w:r>
      <w:r>
        <w:rPr>
          <w:rFonts w:eastAsia="Times New Roman"/>
          <w:sz w:val="24"/>
        </w:rPr>
        <w:t>on day 5</w:t>
      </w:r>
      <w:r>
        <w:rPr>
          <w:sz w:val="24"/>
        </w:rPr>
        <w:t>. Next, 20 μL of CCK-8 (Cell Counting Kit-8; Dojindo, Kumamoto, Japan) were added to each well, followed by incubation at 37 °C for 3-4 h in a humidified CO</w:t>
      </w:r>
      <w:r>
        <w:rPr>
          <w:sz w:val="24"/>
          <w:vertAlign w:val="subscript"/>
        </w:rPr>
        <w:t>2</w:t>
      </w:r>
      <w:r>
        <w:rPr>
          <w:sz w:val="24"/>
        </w:rPr>
        <w:t xml:space="preserve"> incubator for quantitative analysis of cell viability. </w:t>
      </w:r>
      <w:r>
        <w:rPr>
          <w:sz w:val="24"/>
          <w:shd w:val="clear" w:color="auto" w:fill="FFFFFF"/>
        </w:rPr>
        <w:t>The absorbance</w:t>
      </w:r>
      <w:r>
        <w:rPr>
          <w:rFonts w:hint="eastAsia"/>
          <w:sz w:val="24"/>
          <w:shd w:val="clear" w:color="auto" w:fill="FFFFFF"/>
        </w:rPr>
        <w:t xml:space="preserve"> (A) </w:t>
      </w:r>
      <w:r>
        <w:rPr>
          <w:sz w:val="24"/>
          <w:shd w:val="clear" w:color="auto" w:fill="FFFFFF"/>
        </w:rPr>
        <w:t xml:space="preserve">at </w:t>
      </w:r>
      <w:r>
        <w:rPr>
          <w:rFonts w:hint="eastAsia"/>
          <w:sz w:val="24"/>
          <w:shd w:val="clear" w:color="auto" w:fill="FFFFFF"/>
        </w:rPr>
        <w:t>450nm</w:t>
      </w:r>
      <w:r>
        <w:rPr>
          <w:sz w:val="24"/>
          <w:shd w:val="clear" w:color="auto" w:fill="FFFFFF"/>
        </w:rPr>
        <w:t xml:space="preserve"> wavelength (630 nm</w:t>
      </w:r>
      <w:r>
        <w:rPr>
          <w:rFonts w:hint="eastAsia"/>
          <w:sz w:val="24"/>
          <w:shd w:val="clear" w:color="auto" w:fill="FFFFFF"/>
        </w:rPr>
        <w:t xml:space="preserve"> as control of 450nm</w:t>
      </w:r>
      <w:r>
        <w:rPr>
          <w:sz w:val="24"/>
          <w:shd w:val="clear" w:color="auto" w:fill="FFFFFF"/>
        </w:rPr>
        <w:t>) was monitored with a microplate reader (ELX800, BIO-TEK, USA)</w:t>
      </w:r>
      <w:r>
        <w:rPr>
          <w:rFonts w:hint="eastAsia"/>
          <w:sz w:val="24"/>
          <w:shd w:val="clear" w:color="auto" w:fill="FFFFFF"/>
        </w:rPr>
        <w:t xml:space="preserve">, then to calculate the stimulus index (SI). </w:t>
      </w:r>
      <w:r>
        <w:rPr>
          <w:rFonts w:hint="eastAsia"/>
          <w:i/>
          <w:sz w:val="24"/>
          <w:shd w:val="clear" w:color="auto" w:fill="FFFFFF"/>
        </w:rPr>
        <w:t xml:space="preserve">SI = A </w:t>
      </w:r>
      <w:r>
        <w:rPr>
          <w:rFonts w:hint="eastAsia"/>
          <w:i/>
          <w:sz w:val="24"/>
          <w:shd w:val="clear" w:color="auto" w:fill="FFFFFF"/>
          <w:vertAlign w:val="subscript"/>
        </w:rPr>
        <w:t>experimental well</w:t>
      </w:r>
      <w:r>
        <w:rPr>
          <w:rFonts w:hint="eastAsia"/>
          <w:i/>
          <w:sz w:val="24"/>
          <w:shd w:val="clear" w:color="auto" w:fill="FFFFFF"/>
        </w:rPr>
        <w:t>/ A</w:t>
      </w:r>
      <w:r>
        <w:rPr>
          <w:rFonts w:hint="eastAsia"/>
          <w:i/>
          <w:sz w:val="24"/>
          <w:shd w:val="clear" w:color="auto" w:fill="FFFFFF"/>
          <w:vertAlign w:val="subscript"/>
        </w:rPr>
        <w:t>control well</w:t>
      </w:r>
      <w:r>
        <w:rPr>
          <w:rFonts w:hint="eastAsia"/>
          <w:sz w:val="24"/>
          <w:shd w:val="clear" w:color="auto" w:fill="FFFFFF"/>
        </w:rPr>
        <w:t>.</w:t>
      </w:r>
    </w:p>
    <w:p/>
    <w:p/>
    <w:p/>
    <w:p>
      <w:pPr>
        <w:spacing w:line="360" w:lineRule="auto"/>
        <w:rPr>
          <w:rFonts w:hint="eastAsia" w:ascii="Times New Roman" w:hAnsi="Times New Roman" w:cs="Times New Roman"/>
          <w:color w:val="auto"/>
          <w:sz w:val="24"/>
          <w:szCs w:val="24"/>
          <w:lang w:val="en-US" w:eastAsia="zh-CN"/>
        </w:rPr>
      </w:pPr>
      <w:bookmarkStart w:id="0" w:name="OLE_LINK145"/>
      <w:bookmarkStart w:id="1" w:name="OLE_LINK144"/>
    </w:p>
    <w:p>
      <w:pPr>
        <w:spacing w:line="360" w:lineRule="auto"/>
        <w:rPr>
          <w:rFonts w:hint="default" w:ascii="Times New Roman" w:hAnsi="Times New Roman" w:cs="Times New Roman"/>
          <w:b/>
          <w:color w:val="auto"/>
          <w:sz w:val="24"/>
          <w:szCs w:val="24"/>
        </w:rPr>
      </w:pPr>
      <w:r>
        <w:rPr>
          <w:rFonts w:hint="default" w:ascii="Times New Roman" w:hAnsi="Times New Roman" w:cs="Times New Roman"/>
          <w:color w:val="auto"/>
          <w:sz w:val="24"/>
          <w:szCs w:val="24"/>
        </w:rPr>
        <w:t>Figure</w:t>
      </w:r>
      <w:r>
        <w:rPr>
          <w:rFonts w:hint="default" w:ascii="Times New Roman" w:hAnsi="Times New Roman" w:cs="Times New Roman"/>
          <w:b/>
          <w:color w:val="auto"/>
          <w:sz w:val="24"/>
          <w:szCs w:val="24"/>
        </w:rPr>
        <w:t xml:space="preserve"> Legends</w:t>
      </w:r>
    </w:p>
    <w:p>
      <w:pPr>
        <w:spacing w:line="360" w:lineRule="auto"/>
        <w:rPr>
          <w:rFonts w:hint="default" w:ascii="Times New Roman" w:hAnsi="Times New Roman" w:cs="Times New Roman"/>
          <w:b/>
          <w:color w:val="auto"/>
          <w:sz w:val="24"/>
          <w:szCs w:val="24"/>
          <w:lang w:val="en-US" w:eastAsia="zh-CN"/>
        </w:rPr>
      </w:pPr>
      <w:bookmarkStart w:id="4" w:name="_GoBack"/>
      <w:bookmarkEnd w:id="4"/>
    </w:p>
    <w:p>
      <w:pPr>
        <w:spacing w:line="360" w:lineRule="auto"/>
        <w:rPr>
          <w:rFonts w:hint="default" w:ascii="Times New Roman" w:hAnsi="Times New Roman" w:cs="Times New Roman"/>
          <w:color w:val="000000"/>
          <w:sz w:val="24"/>
          <w:szCs w:val="24"/>
        </w:rPr>
      </w:pPr>
      <w:r>
        <w:rPr>
          <w:rFonts w:hint="default" w:ascii="Times New Roman" w:hAnsi="Times New Roman" w:cs="Times New Roman"/>
          <w:b/>
          <w:bCs/>
          <w:color w:val="000000"/>
          <w:sz w:val="24"/>
          <w:szCs w:val="24"/>
        </w:rPr>
        <w:t xml:space="preserve">Figure </w:t>
      </w:r>
      <w:r>
        <w:rPr>
          <w:rFonts w:hint="eastAsia" w:cs="Times New Roman"/>
          <w:b/>
          <w:bCs/>
          <w:color w:val="000000"/>
          <w:sz w:val="24"/>
          <w:szCs w:val="24"/>
          <w:lang w:val="en-US" w:eastAsia="zh-CN"/>
        </w:rPr>
        <w:t>S</w:t>
      </w:r>
      <w:r>
        <w:rPr>
          <w:rFonts w:hint="default" w:ascii="Times New Roman" w:hAnsi="Times New Roman" w:cs="Times New Roman"/>
          <w:b/>
          <w:bCs/>
          <w:color w:val="000000"/>
          <w:sz w:val="24"/>
          <w:szCs w:val="24"/>
        </w:rPr>
        <w:t>1. Surface Ags on RPMI8266 cells treated by IFN-γ or BCGV.</w:t>
      </w:r>
      <w:r>
        <w:rPr>
          <w:rFonts w:hint="default" w:ascii="Times New Roman" w:hAnsi="Times New Roman" w:cs="Times New Roman"/>
          <w:color w:val="000000"/>
          <w:sz w:val="24"/>
          <w:szCs w:val="24"/>
        </w:rPr>
        <w:t xml:space="preserve"> Surface HLA-DR, CD40, CD80, CD86 and CD54 expression on tumor cells were examined by flow cytometry. (a) Treatment of RPMI8266 cells with IFN-γ for 48 h markedly increased HLA-DR, CD40 and CD80 expression, but CD40 and CD80 expressions were at a low level. RPMI8266 cells expressed high levels of CD86 and CD54. (b) Expression of HLA-DR, CD40 and CD80 was increased after treatment of RPMI8266 cells with BCGV; *</w:t>
      </w:r>
      <w:r>
        <w:rPr>
          <w:rFonts w:hint="default" w:ascii="Times New Roman" w:hAnsi="Times New Roman" w:cs="Times New Roman"/>
          <w:i/>
          <w:iCs/>
          <w:color w:val="000000"/>
          <w:sz w:val="24"/>
          <w:szCs w:val="24"/>
        </w:rPr>
        <w:t xml:space="preserve"> p</w:t>
      </w:r>
      <w:r>
        <w:rPr>
          <w:rFonts w:hint="default" w:ascii="Times New Roman" w:hAnsi="Times New Roman" w:cs="Times New Roman"/>
          <w:color w:val="000000"/>
          <w:sz w:val="24"/>
          <w:szCs w:val="24"/>
        </w:rPr>
        <w:t xml:space="preserve"> &lt; 0.05.</w:t>
      </w:r>
    </w:p>
    <w:p>
      <w:pPr>
        <w:spacing w:line="360" w:lineRule="auto"/>
        <w:rPr>
          <w:rFonts w:hint="eastAsia" w:ascii="Times New Roman" w:hAnsi="Times New Roman" w:eastAsia="宋体" w:cs="Times New Roman"/>
          <w:color w:val="000000"/>
          <w:sz w:val="24"/>
          <w:szCs w:val="24"/>
          <w:lang w:val="en-US" w:eastAsia="zh-CN"/>
        </w:rPr>
      </w:pPr>
      <w:bookmarkStart w:id="2" w:name="OLE_LINK147"/>
      <w:bookmarkStart w:id="3" w:name="OLE_LINK146"/>
      <w:r>
        <w:rPr>
          <w:rFonts w:hint="default" w:ascii="Times New Roman" w:hAnsi="Times New Roman" w:eastAsia="AdvOT919a0533.B" w:cs="Times New Roman"/>
          <w:b/>
          <w:bCs/>
          <w:color w:val="000000"/>
          <w:sz w:val="24"/>
          <w:szCs w:val="24"/>
        </w:rPr>
        <w:t xml:space="preserve">Figure </w:t>
      </w:r>
      <w:r>
        <w:rPr>
          <w:rFonts w:hint="eastAsia" w:eastAsia="AdvOT919a0533.B" w:cs="Times New Roman"/>
          <w:b/>
          <w:bCs/>
          <w:color w:val="000000"/>
          <w:sz w:val="24"/>
          <w:szCs w:val="24"/>
          <w:lang w:val="en-US" w:eastAsia="zh-CN"/>
        </w:rPr>
        <w:t>S2</w:t>
      </w:r>
      <w:r>
        <w:rPr>
          <w:rFonts w:hint="default" w:ascii="Times New Roman" w:hAnsi="Times New Roman" w:eastAsia="AdvOT919a0533.B" w:cs="Times New Roman"/>
          <w:b/>
          <w:bCs/>
          <w:color w:val="000000"/>
          <w:sz w:val="24"/>
          <w:szCs w:val="24"/>
        </w:rPr>
        <w:t>. Mixed lymphocyte reaction and Th2 cell ratio.</w:t>
      </w:r>
      <w:r>
        <w:rPr>
          <w:rFonts w:hint="default" w:ascii="Times New Roman" w:hAnsi="Times New Roman" w:cs="Times New Roman"/>
          <w:color w:val="000000"/>
          <w:sz w:val="24"/>
          <w:szCs w:val="24"/>
        </w:rPr>
        <w:t xml:space="preserve"> Th2 cells after MLR for 5 d (MM: T = 1:1) stained with CD4-FITC and IL-4-PE was analyzed by FCM. The ratio of Th2 cell was weakly increased</w:t>
      </w:r>
      <w:bookmarkEnd w:id="2"/>
      <w:bookmarkEnd w:id="3"/>
      <w:r>
        <w:rPr>
          <w:rFonts w:hint="eastAsia" w:cs="Times New Roman"/>
          <w:color w:val="000000"/>
          <w:sz w:val="24"/>
          <w:szCs w:val="24"/>
          <w:lang w:val="en-US" w:eastAsia="zh-CN"/>
        </w:rPr>
        <w:t>.</w:t>
      </w:r>
    </w:p>
    <w:bookmarkEnd w:id="0"/>
    <w:bookmarkEnd w:id="1"/>
    <w:p/>
    <w:p/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BemboStd">
    <w:altName w:val="宋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AdvOT919a0533.B">
    <w:altName w:val="宋体"/>
    <w:panose1 w:val="00000000000000000000"/>
    <w:charset w:val="86"/>
    <w:family w:val="auto"/>
    <w:pitch w:val="default"/>
    <w:sig w:usb0="00000000" w:usb1="00000000" w:usb2="0000001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19B1576"/>
    <w:rsid w:val="02C43324"/>
    <w:rsid w:val="419B1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Office_11.1.0.9208_F1E327BC-269C-435d-A152-05C5408002CA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2019-12-13T11:49:00Z</dcterms:created>
  <dc:creator>Administrator</dc:creator>
  <cp:lastModifiedBy>Administrator</cp:lastModifiedBy>
  <dcterms:modified xsi:type="dcterms:W3CDTF">2019-12-13T12:53:03Z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2052-11.1.0.9208</vt:lpwstr>
  </property>
</Properties>
</file>