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8"/>
        <w:gridCol w:w="3352"/>
      </w:tblGrid>
      <w:tr w:rsidR="00EE3B3E" w:rsidRPr="00EE3B3E" w:rsidTr="00112680">
        <w:trPr>
          <w:cantSplit/>
        </w:trPr>
        <w:tc>
          <w:tcPr>
            <w:tcW w:w="45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Multivariate analysis</w:t>
            </w:r>
          </w:p>
        </w:tc>
        <w:tc>
          <w:tcPr>
            <w:tcW w:w="335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p-value</w:t>
            </w:r>
          </w:p>
        </w:tc>
      </w:tr>
      <w:tr w:rsidR="00EE3B3E" w:rsidRPr="00EE3B3E" w:rsidTr="00112680">
        <w:trPr>
          <w:cantSplit/>
        </w:trPr>
        <w:tc>
          <w:tcPr>
            <w:tcW w:w="456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T</w:t>
            </w:r>
          </w:p>
        </w:tc>
        <w:tc>
          <w:tcPr>
            <w:tcW w:w="335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0.863</w:t>
            </w:r>
          </w:p>
        </w:tc>
      </w:tr>
      <w:tr w:rsidR="00EE3B3E" w:rsidRPr="00EE3B3E" w:rsidTr="00112680">
        <w:trPr>
          <w:cantSplit/>
        </w:trPr>
        <w:tc>
          <w:tcPr>
            <w:tcW w:w="45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33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0.014</w:t>
            </w:r>
          </w:p>
        </w:tc>
      </w:tr>
      <w:tr w:rsidR="00EE3B3E" w:rsidRPr="00EE3B3E" w:rsidTr="00112680">
        <w:trPr>
          <w:cantSplit/>
        </w:trPr>
        <w:tc>
          <w:tcPr>
            <w:tcW w:w="45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G</w:t>
            </w:r>
          </w:p>
        </w:tc>
        <w:tc>
          <w:tcPr>
            <w:tcW w:w="335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0.246</w:t>
            </w:r>
          </w:p>
        </w:tc>
      </w:tr>
      <w:tr w:rsidR="00EE3B3E" w:rsidRPr="00EE3B3E" w:rsidTr="00112680">
        <w:trPr>
          <w:cantSplit/>
        </w:trPr>
        <w:tc>
          <w:tcPr>
            <w:tcW w:w="456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Predictor metabolites</w:t>
            </w:r>
          </w:p>
        </w:tc>
        <w:tc>
          <w:tcPr>
            <w:tcW w:w="335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E3B3E" w:rsidRPr="00EE3B3E" w:rsidRDefault="00EE3B3E" w:rsidP="00EE3B3E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</w:pPr>
            <w:r w:rsidRPr="00EE3B3E">
              <w:rPr>
                <w:rFonts w:ascii="Arial" w:eastAsia="Calibri" w:hAnsi="Arial" w:cs="Arial"/>
                <w:color w:val="000000"/>
                <w:sz w:val="18"/>
                <w:szCs w:val="18"/>
                <w:lang w:val="en-US"/>
              </w:rPr>
              <w:t>0.018</w:t>
            </w:r>
          </w:p>
        </w:tc>
      </w:tr>
    </w:tbl>
    <w:p w:rsidR="00EE3B3E" w:rsidRPr="00EE3B3E" w:rsidRDefault="00EE3B3E" w:rsidP="00EE3B3E">
      <w:pPr>
        <w:spacing w:line="480" w:lineRule="auto"/>
        <w:rPr>
          <w:lang w:val="en-US"/>
        </w:rPr>
      </w:pPr>
      <w:r w:rsidRPr="00EE3B3E">
        <w:rPr>
          <w:lang w:val="en-US"/>
        </w:rPr>
        <w:t>S</w:t>
      </w:r>
      <w:r>
        <w:rPr>
          <w:lang w:val="en-US"/>
        </w:rPr>
        <w:t>up</w:t>
      </w:r>
      <w:r w:rsidRPr="00EE3B3E">
        <w:rPr>
          <w:lang w:val="en-US"/>
        </w:rPr>
        <w:t xml:space="preserve"> Table</w:t>
      </w:r>
      <w:r>
        <w:rPr>
          <w:lang w:val="en-US"/>
        </w:rPr>
        <w:t xml:space="preserve"> 2</w:t>
      </w:r>
      <w:r w:rsidRPr="00EE3B3E">
        <w:rPr>
          <w:lang w:val="en-US"/>
        </w:rPr>
        <w:t>: Multivariate Cox regression model comparing OS predictor based on metabolomics data. T = tumor stage, N = lymph node status, G = tumor grade.</w:t>
      </w:r>
    </w:p>
    <w:p w:rsidR="006D7885" w:rsidRPr="00EE3B3E" w:rsidRDefault="006D7885">
      <w:pPr>
        <w:rPr>
          <w:lang w:val="en-US"/>
        </w:rPr>
      </w:pPr>
      <w:bookmarkStart w:id="0" w:name="_GoBack"/>
      <w:bookmarkEnd w:id="0"/>
    </w:p>
    <w:sectPr w:rsidR="006D7885" w:rsidRPr="00EE3B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3E"/>
    <w:rsid w:val="006D7885"/>
    <w:rsid w:val="007E67EC"/>
    <w:rsid w:val="00EE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2020-03-06T15:26:00Z</dcterms:created>
  <dcterms:modified xsi:type="dcterms:W3CDTF">2020-03-06T15:26:00Z</dcterms:modified>
</cp:coreProperties>
</file>