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68" w:rsidRDefault="005E2168" w:rsidP="005E2168">
      <w:pPr>
        <w:rPr>
          <w:rFonts w:cs="Calibri"/>
          <w:sz w:val="18"/>
          <w:szCs w:val="18"/>
        </w:rPr>
      </w:pPr>
      <w:r>
        <w:rPr>
          <w:rFonts w:cs="Calibri"/>
          <w:noProof/>
          <w:sz w:val="18"/>
          <w:szCs w:val="18"/>
        </w:rPr>
        <w:drawing>
          <wp:inline distT="0" distB="0" distL="0" distR="0">
            <wp:extent cx="6191250" cy="2476500"/>
            <wp:effectExtent l="19050" t="0" r="0" b="0"/>
            <wp:docPr id="7" name="图片 5" descr="C:\Users\DELL\Desktop\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:\Users\DELL\Desktop\7-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68" w:rsidRPr="00D07ECE" w:rsidRDefault="005E2168" w:rsidP="005E2168">
      <w:pPr>
        <w:rPr>
          <w:rFonts w:cs="Calibri"/>
          <w:sz w:val="18"/>
          <w:szCs w:val="18"/>
        </w:rPr>
      </w:pPr>
      <w:r w:rsidRPr="00B27B48">
        <w:rPr>
          <w:rFonts w:cs="Calibri" w:hint="eastAsia"/>
          <w:b/>
          <w:sz w:val="18"/>
          <w:szCs w:val="18"/>
        </w:rPr>
        <w:t>Figure S1.</w:t>
      </w:r>
      <w:r w:rsidRPr="00B27B48">
        <w:rPr>
          <w:rFonts w:cs="Calibri" w:hint="eastAsia"/>
          <w:sz w:val="18"/>
          <w:szCs w:val="18"/>
        </w:rPr>
        <w:t xml:space="preserve"> </w:t>
      </w:r>
      <w:r w:rsidRPr="00B27B48">
        <w:rPr>
          <w:rFonts w:cs="Calibri"/>
          <w:sz w:val="18"/>
          <w:szCs w:val="18"/>
        </w:rPr>
        <w:t>K</w:t>
      </w:r>
      <w:r w:rsidRPr="00D07ECE">
        <w:rPr>
          <w:rFonts w:cs="Calibri"/>
          <w:sz w:val="18"/>
          <w:szCs w:val="18"/>
        </w:rPr>
        <w:t>aplan-Meier curves showing</w:t>
      </w:r>
      <w:r w:rsidRPr="00D07ECE">
        <w:rPr>
          <w:rFonts w:cs="Calibri" w:hint="eastAsia"/>
          <w:sz w:val="18"/>
          <w:szCs w:val="18"/>
        </w:rPr>
        <w:t xml:space="preserve"> patients with </w:t>
      </w:r>
      <w:r>
        <w:rPr>
          <w:rFonts w:cs="Calibri" w:hint="eastAsia"/>
          <w:sz w:val="18"/>
          <w:szCs w:val="18"/>
        </w:rPr>
        <w:t>small duct type</w:t>
      </w:r>
      <w:r w:rsidRPr="00D07ECE">
        <w:rPr>
          <w:rFonts w:cs="Calibri" w:hint="eastAsia"/>
          <w:sz w:val="18"/>
          <w:szCs w:val="18"/>
        </w:rPr>
        <w:t xml:space="preserve"> had</w:t>
      </w:r>
      <w:r>
        <w:rPr>
          <w:rFonts w:cs="Calibri" w:hint="eastAsia"/>
          <w:sz w:val="18"/>
          <w:szCs w:val="18"/>
        </w:rPr>
        <w:t xml:space="preserve"> improved DFS (A) and OS (B) in total cohorts of</w:t>
      </w:r>
      <w:r w:rsidRPr="00D07ECE">
        <w:rPr>
          <w:rFonts w:cs="Calibri" w:hint="eastAsia"/>
          <w:sz w:val="18"/>
          <w:szCs w:val="18"/>
        </w:rPr>
        <w:t xml:space="preserve"> ICCs.</w:t>
      </w:r>
    </w:p>
    <w:p w:rsidR="005E2168" w:rsidRPr="00D07ECE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jc w:val="left"/>
        <w:rPr>
          <w:rFonts w:cs="Calibri"/>
          <w:sz w:val="18"/>
          <w:szCs w:val="18"/>
        </w:rPr>
      </w:pPr>
      <w:r w:rsidRPr="00D07ECE">
        <w:rPr>
          <w:rFonts w:cs="Calibri"/>
          <w:b/>
          <w:sz w:val="18"/>
          <w:szCs w:val="18"/>
        </w:rPr>
        <w:t>Table S1.</w:t>
      </w:r>
      <w:r w:rsidRPr="00D07ECE">
        <w:rPr>
          <w:rFonts w:cs="Calibri"/>
          <w:sz w:val="18"/>
          <w:szCs w:val="18"/>
        </w:rPr>
        <w:t xml:space="preserve"> Results of </w:t>
      </w:r>
      <w:r w:rsidRPr="00D07ECE">
        <w:rPr>
          <w:rFonts w:cs="Calibri" w:hint="eastAsia"/>
          <w:sz w:val="18"/>
          <w:szCs w:val="18"/>
        </w:rPr>
        <w:t xml:space="preserve">the </w:t>
      </w:r>
      <w:r w:rsidRPr="00D07ECE">
        <w:rPr>
          <w:rFonts w:cs="Calibri"/>
          <w:sz w:val="18"/>
          <w:szCs w:val="18"/>
        </w:rPr>
        <w:t>ICC</w:t>
      </w:r>
      <w:r w:rsidRPr="00D07ECE">
        <w:rPr>
          <w:rFonts w:cs="Calibri" w:hint="eastAsia"/>
          <w:sz w:val="18"/>
          <w:szCs w:val="18"/>
        </w:rPr>
        <w:t xml:space="preserve"> </w:t>
      </w:r>
      <w:r w:rsidRPr="00D07ECE">
        <w:rPr>
          <w:rFonts w:cs="Calibri"/>
          <w:sz w:val="18"/>
          <w:szCs w:val="18"/>
        </w:rPr>
        <w:t>subclassification in the first round.</w:t>
      </w:r>
    </w:p>
    <w:tbl>
      <w:tblPr>
        <w:tblW w:w="8088" w:type="dxa"/>
        <w:tblLook w:val="04A0"/>
      </w:tblPr>
      <w:tblGrid>
        <w:gridCol w:w="1091"/>
        <w:gridCol w:w="574"/>
        <w:gridCol w:w="571"/>
        <w:gridCol w:w="1377"/>
        <w:gridCol w:w="259"/>
        <w:gridCol w:w="570"/>
        <w:gridCol w:w="570"/>
        <w:gridCol w:w="571"/>
        <w:gridCol w:w="285"/>
        <w:gridCol w:w="428"/>
        <w:gridCol w:w="427"/>
        <w:gridCol w:w="427"/>
        <w:gridCol w:w="427"/>
        <w:gridCol w:w="511"/>
      </w:tblGrid>
      <w:tr w:rsidR="005E2168" w:rsidRPr="00D07ECE" w:rsidTr="00EA15D9">
        <w:trPr>
          <w:trHeight w:val="252"/>
        </w:trPr>
        <w:tc>
          <w:tcPr>
            <w:tcW w:w="10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Subtype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HE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AB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S100P</w:t>
            </w:r>
          </w:p>
        </w:tc>
      </w:tr>
      <w:tr w:rsidR="005E2168" w:rsidRPr="00D07ECE" w:rsidTr="00EA15D9">
        <w:trPr>
          <w:trHeight w:val="252"/>
        </w:trPr>
        <w:tc>
          <w:tcPr>
            <w:tcW w:w="10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Large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Small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underdetermined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5E2168" w:rsidRPr="00D07ECE" w:rsidTr="00EA15D9">
        <w:trPr>
          <w:trHeight w:val="252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Large duct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10</w:t>
            </w:r>
          </w:p>
        </w:tc>
      </w:tr>
      <w:tr w:rsidR="005E2168" w:rsidRPr="00D07ECE" w:rsidTr="00EA15D9">
        <w:trPr>
          <w:trHeight w:val="252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Small duct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5E2168" w:rsidRPr="00D07ECE" w:rsidTr="00EA15D9">
        <w:trPr>
          <w:trHeight w:val="252"/>
        </w:trPr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intermediate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</w:t>
            </w:r>
          </w:p>
        </w:tc>
      </w:tr>
    </w:tbl>
    <w:p w:rsidR="005E2168" w:rsidRPr="00D07ECE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jc w:val="left"/>
        <w:rPr>
          <w:rFonts w:cs="Calibri"/>
          <w:sz w:val="18"/>
          <w:szCs w:val="18"/>
        </w:rPr>
      </w:pPr>
      <w:r w:rsidRPr="00D07ECE">
        <w:rPr>
          <w:rFonts w:cs="Calibri"/>
          <w:b/>
          <w:sz w:val="18"/>
          <w:szCs w:val="18"/>
        </w:rPr>
        <w:t>Table S2.</w:t>
      </w:r>
      <w:r w:rsidRPr="00D07ECE">
        <w:rPr>
          <w:rFonts w:cs="Calibri"/>
          <w:sz w:val="18"/>
          <w:szCs w:val="18"/>
        </w:rPr>
        <w:t xml:space="preserve"> Results of </w:t>
      </w:r>
      <w:r w:rsidRPr="00D07ECE">
        <w:rPr>
          <w:rFonts w:cs="Calibri" w:hint="eastAsia"/>
          <w:sz w:val="18"/>
          <w:szCs w:val="18"/>
        </w:rPr>
        <w:t xml:space="preserve">the </w:t>
      </w:r>
      <w:r w:rsidRPr="00D07ECE">
        <w:rPr>
          <w:rFonts w:cs="Calibri"/>
          <w:sz w:val="18"/>
          <w:szCs w:val="18"/>
        </w:rPr>
        <w:t>intermediate type ICC</w:t>
      </w:r>
      <w:r w:rsidRPr="00D07ECE">
        <w:rPr>
          <w:rFonts w:cs="Calibri" w:hint="eastAsia"/>
          <w:sz w:val="18"/>
          <w:szCs w:val="18"/>
        </w:rPr>
        <w:t xml:space="preserve"> s</w:t>
      </w:r>
      <w:r w:rsidRPr="00D07ECE">
        <w:rPr>
          <w:rFonts w:cs="Calibri"/>
          <w:sz w:val="18"/>
          <w:szCs w:val="18"/>
        </w:rPr>
        <w:t>ubclassification in the second round.</w:t>
      </w:r>
    </w:p>
    <w:tbl>
      <w:tblPr>
        <w:tblW w:w="8042" w:type="dxa"/>
        <w:tblLook w:val="04A0"/>
      </w:tblPr>
      <w:tblGrid>
        <w:gridCol w:w="1067"/>
        <w:gridCol w:w="572"/>
        <w:gridCol w:w="569"/>
        <w:gridCol w:w="1373"/>
        <w:gridCol w:w="259"/>
        <w:gridCol w:w="568"/>
        <w:gridCol w:w="568"/>
        <w:gridCol w:w="569"/>
        <w:gridCol w:w="284"/>
        <w:gridCol w:w="427"/>
        <w:gridCol w:w="426"/>
        <w:gridCol w:w="426"/>
        <w:gridCol w:w="426"/>
        <w:gridCol w:w="508"/>
      </w:tblGrid>
      <w:tr w:rsidR="005E2168" w:rsidRPr="00D07ECE" w:rsidTr="00EA15D9">
        <w:trPr>
          <w:trHeight w:val="251"/>
        </w:trPr>
        <w:tc>
          <w:tcPr>
            <w:tcW w:w="106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Subtype</w:t>
            </w: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HE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AB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S100P</w:t>
            </w:r>
          </w:p>
        </w:tc>
      </w:tr>
      <w:tr w:rsidR="005E2168" w:rsidRPr="00D07ECE" w:rsidTr="00EA15D9">
        <w:trPr>
          <w:trHeight w:val="251"/>
        </w:trPr>
        <w:tc>
          <w:tcPr>
            <w:tcW w:w="10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Large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Small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underdetermined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5E2168" w:rsidRPr="00D07ECE" w:rsidTr="00EA15D9">
        <w:trPr>
          <w:trHeight w:val="251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Large duct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5E2168" w:rsidRPr="00D07ECE" w:rsidTr="00EA15D9">
        <w:trPr>
          <w:trHeight w:val="251"/>
        </w:trPr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left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Small duct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</w:t>
            </w:r>
          </w:p>
        </w:tc>
      </w:tr>
    </w:tbl>
    <w:p w:rsidR="005E2168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sz w:val="18"/>
          <w:szCs w:val="18"/>
        </w:rPr>
      </w:pPr>
    </w:p>
    <w:p w:rsidR="005E2168" w:rsidRPr="00B27B48" w:rsidRDefault="005E2168" w:rsidP="005E2168">
      <w:pPr>
        <w:rPr>
          <w:rFonts w:cs="Calibri"/>
          <w:sz w:val="18"/>
          <w:szCs w:val="18"/>
        </w:rPr>
      </w:pPr>
      <w:r w:rsidRPr="00B27B48">
        <w:rPr>
          <w:rFonts w:cs="Calibri" w:hint="eastAsia"/>
          <w:b/>
          <w:sz w:val="18"/>
          <w:szCs w:val="18"/>
        </w:rPr>
        <w:t>Table S3.</w:t>
      </w:r>
      <w:r w:rsidRPr="00B27B48">
        <w:rPr>
          <w:rFonts w:cs="Calibri" w:hint="eastAsia"/>
          <w:sz w:val="18"/>
          <w:szCs w:val="18"/>
        </w:rPr>
        <w:t xml:space="preserve"> </w:t>
      </w:r>
      <w:r w:rsidRPr="00B27B48">
        <w:rPr>
          <w:rFonts w:cs="Calibri"/>
          <w:sz w:val="18"/>
          <w:szCs w:val="18"/>
        </w:rPr>
        <w:t>Comparisons of clinicopathologic</w:t>
      </w:r>
      <w:r w:rsidRPr="00B27B48">
        <w:rPr>
          <w:rFonts w:cs="Calibri" w:hint="eastAsia"/>
          <w:sz w:val="18"/>
          <w:szCs w:val="18"/>
        </w:rPr>
        <w:t xml:space="preserve">al </w:t>
      </w:r>
      <w:r w:rsidRPr="00B27B48">
        <w:rPr>
          <w:rFonts w:cs="Calibri"/>
          <w:sz w:val="18"/>
          <w:szCs w:val="18"/>
        </w:rPr>
        <w:t xml:space="preserve">characteristics </w:t>
      </w:r>
      <w:r w:rsidRPr="00B27B48">
        <w:rPr>
          <w:rFonts w:cs="Calibri" w:hint="eastAsia"/>
          <w:sz w:val="18"/>
          <w:szCs w:val="18"/>
        </w:rPr>
        <w:t>between large duct and small duct type of ICCs.</w:t>
      </w:r>
    </w:p>
    <w:tbl>
      <w:tblPr>
        <w:tblW w:w="4272" w:type="dxa"/>
        <w:tblInd w:w="99" w:type="dxa"/>
        <w:tblLook w:val="04A0"/>
      </w:tblPr>
      <w:tblGrid>
        <w:gridCol w:w="1068"/>
        <w:gridCol w:w="1068"/>
        <w:gridCol w:w="1068"/>
        <w:gridCol w:w="1068"/>
      </w:tblGrid>
      <w:tr w:rsidR="005E2168" w:rsidRPr="00DA1220" w:rsidTr="00EA15D9">
        <w:trPr>
          <w:trHeight w:val="197"/>
        </w:trPr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Clinical variables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 xml:space="preserve">Large duct type 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Small duct type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  <w:r w:rsidRPr="00935C0D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Age</w:t>
            </w:r>
            <w:r w:rsidRPr="00935C0D">
              <w:rPr>
                <w:rFonts w:eastAsia="等线" w:cs="Calibri"/>
                <w:color w:val="000000"/>
                <w:kern w:val="0"/>
                <w:sz w:val="16"/>
                <w:szCs w:val="16"/>
              </w:rPr>
              <w:t xml:space="preserve">  (years)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935C0D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0.071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935C0D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&lt;65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935C0D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17 (63.0%)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935C0D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82 (79.6%)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935C0D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≥65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935C0D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10 (37.0%)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935C0D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21 (20.4%)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935C0D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Calibri" w:hint="eastAsia"/>
                <w:b/>
                <w:bCs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0.233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12 (44.4%)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59 (57.3%)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15 (55.6%)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44 (42.7%)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CA19-9</w:t>
            </w: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 xml:space="preserve">  (U/ml)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&lt;39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6 (22.2%)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57 (55.9%)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≥39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21 (77.8%)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45 (44.1%)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Lymphadenectomy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0.002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11 (40.7%)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75 (72.8%)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16 (59.3%)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28 (27.2%)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Nerve invasion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0.025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16 (61.5%)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82 (82.0%)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10 (38.5%)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18 (18.0%)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Satellite lesions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0.009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18 (66.7%)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92 (89.3%)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9 (33.3%)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11 (10.7%)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Diameter of tumor</w:t>
            </w: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 xml:space="preserve"> (cm)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0.021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lastRenderedPageBreak/>
              <w:t>＜</w:t>
            </w:r>
            <w:r w:rsidRPr="00DA1220">
              <w:rPr>
                <w:rFonts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18(66.7%)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43(41.7%)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≥</w:t>
            </w:r>
            <w:r w:rsidRPr="00DA1220">
              <w:rPr>
                <w:rFonts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9(33.3%)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60(58.3%)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pT classification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0.041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pT1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7 (25.9%)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45 (43.7%)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pT2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13 (48.1%)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47 (45.6%)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pT3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3 (11.1%)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2 (1.9%)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pT4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4 (14.8%)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9 (8.7%)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pN classification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0.117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N0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11 (50.0%)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34 (69.4%)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N1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11 (50.0%)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15 (30.6%)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pM classification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0.019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M0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19 (70.4%)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93 (90.3%)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M1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8 (29.6%)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10 (9.7%)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TNM stage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b/>
                <w:bCs/>
                <w:color w:val="000000"/>
                <w:kern w:val="0"/>
                <w:sz w:val="16"/>
                <w:szCs w:val="16"/>
              </w:rPr>
              <w:t>0.004</w:t>
            </w: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 (4.5%)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14 (26.9%)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6 (27.3%)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19 (36.5%)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8 (36.4%)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10 (19.2%)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eastAsia="等线" w:cs="Calibri"/>
                <w:color w:val="000000"/>
                <w:kern w:val="0"/>
                <w:szCs w:val="21"/>
              </w:rPr>
            </w:pPr>
          </w:p>
        </w:tc>
      </w:tr>
      <w:tr w:rsidR="005E2168" w:rsidRPr="00DA1220" w:rsidTr="00EA15D9">
        <w:trPr>
          <w:trHeight w:val="197"/>
        </w:trPr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7 (31.8%)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eastAsia="等线" w:cs="Calibri"/>
                <w:color w:val="000000"/>
                <w:kern w:val="0"/>
                <w:sz w:val="16"/>
                <w:szCs w:val="16"/>
              </w:rPr>
            </w:pPr>
            <w:r w:rsidRPr="00DA1220">
              <w:rPr>
                <w:rFonts w:eastAsia="等线" w:cs="Calibri"/>
                <w:color w:val="000000"/>
                <w:kern w:val="0"/>
                <w:sz w:val="16"/>
                <w:szCs w:val="16"/>
              </w:rPr>
              <w:t>9 (17.3%)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:rsidR="005E2168" w:rsidRPr="00DA1220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DA1220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5E2168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b/>
          <w:sz w:val="18"/>
          <w:szCs w:val="18"/>
        </w:rPr>
      </w:pPr>
      <w:r w:rsidRPr="00B27B48">
        <w:rPr>
          <w:rFonts w:cs="Calibri" w:hint="eastAsia"/>
          <w:b/>
          <w:sz w:val="18"/>
          <w:szCs w:val="18"/>
        </w:rPr>
        <w:t xml:space="preserve">Table S4. </w:t>
      </w:r>
      <w:r w:rsidRPr="00B27B48">
        <w:rPr>
          <w:rFonts w:cs="Calibri"/>
          <w:sz w:val="18"/>
          <w:szCs w:val="18"/>
        </w:rPr>
        <w:t>Univa</w:t>
      </w:r>
      <w:r w:rsidRPr="00D07ECE">
        <w:rPr>
          <w:rFonts w:cs="Calibri"/>
          <w:sz w:val="18"/>
          <w:szCs w:val="18"/>
        </w:rPr>
        <w:t xml:space="preserve">riate and </w:t>
      </w:r>
      <w:r w:rsidRPr="00D07ECE">
        <w:rPr>
          <w:rFonts w:cs="Calibri" w:hint="eastAsia"/>
          <w:sz w:val="18"/>
          <w:szCs w:val="18"/>
        </w:rPr>
        <w:t>m</w:t>
      </w:r>
      <w:r w:rsidRPr="00D07ECE">
        <w:rPr>
          <w:rFonts w:cs="Calibri"/>
          <w:sz w:val="18"/>
          <w:szCs w:val="18"/>
        </w:rPr>
        <w:t xml:space="preserve">ultivariate </w:t>
      </w:r>
      <w:r w:rsidRPr="00D07ECE">
        <w:rPr>
          <w:rFonts w:cs="Calibri" w:hint="eastAsia"/>
          <w:sz w:val="18"/>
          <w:szCs w:val="18"/>
        </w:rPr>
        <w:t>a</w:t>
      </w:r>
      <w:r w:rsidRPr="00D07ECE">
        <w:rPr>
          <w:rFonts w:cs="Calibri"/>
          <w:sz w:val="18"/>
          <w:szCs w:val="18"/>
        </w:rPr>
        <w:t>naly</w:t>
      </w:r>
      <w:r w:rsidRPr="00D07ECE">
        <w:rPr>
          <w:rFonts w:cs="Calibri" w:hint="eastAsia"/>
          <w:sz w:val="18"/>
          <w:szCs w:val="18"/>
        </w:rPr>
        <w:t>se</w:t>
      </w:r>
      <w:r w:rsidRPr="00D07ECE">
        <w:rPr>
          <w:rFonts w:cs="Calibri"/>
          <w:sz w:val="18"/>
          <w:szCs w:val="18"/>
        </w:rPr>
        <w:t xml:space="preserve">s </w:t>
      </w:r>
      <w:r w:rsidRPr="00D07ECE">
        <w:rPr>
          <w:rFonts w:cs="Calibri" w:hint="eastAsia"/>
          <w:sz w:val="18"/>
          <w:szCs w:val="18"/>
        </w:rPr>
        <w:t xml:space="preserve">for </w:t>
      </w:r>
      <w:r w:rsidRPr="00D07ECE">
        <w:rPr>
          <w:rFonts w:cs="Calibri"/>
          <w:sz w:val="18"/>
          <w:szCs w:val="18"/>
        </w:rPr>
        <w:t>prognostic value of</w:t>
      </w:r>
      <w:r w:rsidRPr="00D07ECE">
        <w:rPr>
          <w:rFonts w:cs="Calibri" w:hint="eastAsia"/>
          <w:color w:val="000000"/>
          <w:kern w:val="0"/>
          <w:sz w:val="18"/>
          <w:szCs w:val="18"/>
        </w:rPr>
        <w:t xml:space="preserve"> frequent mutations in ICCs</w:t>
      </w:r>
    </w:p>
    <w:tbl>
      <w:tblPr>
        <w:tblW w:w="7106" w:type="dxa"/>
        <w:tblInd w:w="98" w:type="dxa"/>
        <w:tblLook w:val="04A0"/>
      </w:tblPr>
      <w:tblGrid>
        <w:gridCol w:w="1464"/>
        <w:gridCol w:w="962"/>
        <w:gridCol w:w="1700"/>
        <w:gridCol w:w="284"/>
        <w:gridCol w:w="892"/>
        <w:gridCol w:w="1804"/>
      </w:tblGrid>
      <w:tr w:rsidR="005E2168" w:rsidRPr="00D07ECE" w:rsidTr="00EA15D9">
        <w:trPr>
          <w:trHeight w:val="186"/>
        </w:trPr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clinical variables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DFS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OS</w:t>
            </w:r>
          </w:p>
        </w:tc>
      </w:tr>
      <w:tr w:rsidR="005E2168" w:rsidRPr="00D07ECE" w:rsidTr="00EA15D9">
        <w:trPr>
          <w:trHeight w:val="279"/>
        </w:trPr>
        <w:tc>
          <w:tcPr>
            <w:tcW w:w="14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Univariate 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br/>
              <w:t>P-value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Multivariate P-value</w:t>
            </w:r>
            <w:r w:rsidRPr="00D07ECE">
              <w:rPr>
                <w:rFonts w:cs="Calibri" w:hint="eastAsia"/>
                <w:color w:val="000000"/>
                <w:kern w:val="0"/>
                <w:sz w:val="16"/>
                <w:szCs w:val="16"/>
              </w:rPr>
              <w:t>/</w:t>
            </w:r>
          </w:p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Univariate 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br/>
              <w:t>P-value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Multivariate P-value</w:t>
            </w:r>
            <w:r w:rsidRPr="00D07ECE">
              <w:rPr>
                <w:rFonts w:cs="Calibri" w:hint="eastAsia"/>
                <w:color w:val="000000"/>
                <w:kern w:val="0"/>
                <w:sz w:val="16"/>
                <w:szCs w:val="16"/>
              </w:rPr>
              <w:t>/</w:t>
            </w:r>
          </w:p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HR (95% CI)</w:t>
            </w:r>
          </w:p>
        </w:tc>
      </w:tr>
      <w:tr w:rsidR="005E2168" w:rsidRPr="00D07ECE" w:rsidTr="00EA15D9">
        <w:trPr>
          <w:trHeight w:val="186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IDH1/2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 w:hint="eastAsia"/>
                <w:b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 w:hint="eastAsia"/>
                <w:b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 w:hint="eastAsia"/>
                <w:b/>
                <w:bCs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 w:hint="eastAsia"/>
                <w:b/>
                <w:bCs/>
                <w:color w:val="000000"/>
                <w:kern w:val="0"/>
                <w:sz w:val="16"/>
                <w:szCs w:val="16"/>
              </w:rPr>
              <w:t>0.038</w:t>
            </w:r>
          </w:p>
        </w:tc>
      </w:tr>
      <w:tr w:rsidR="005E2168" w:rsidRPr="00D07ECE" w:rsidTr="00EA15D9">
        <w:trPr>
          <w:trHeight w:val="186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Mutant vs. wild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 w:hint="eastAsia"/>
                <w:color w:val="000000"/>
                <w:kern w:val="0"/>
                <w:sz w:val="16"/>
                <w:szCs w:val="16"/>
              </w:rPr>
              <w:t>2.915(1.136-7.477)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 w:hint="eastAsia"/>
                <w:color w:val="000000"/>
                <w:kern w:val="0"/>
                <w:sz w:val="16"/>
                <w:szCs w:val="16"/>
              </w:rPr>
              <w:t>3.593(1.074-12.018)</w:t>
            </w:r>
          </w:p>
        </w:tc>
      </w:tr>
      <w:tr w:rsidR="005E2168" w:rsidRPr="00D07ECE" w:rsidTr="00EA15D9">
        <w:trPr>
          <w:trHeight w:val="186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BAP1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0.475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0.956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186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Loss vs. retained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186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ARID1A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0.355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0.629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186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Loss vs. retained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186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PBRM1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0.426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0.449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186"/>
        </w:trPr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Loss vs. retained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</w:tbl>
    <w:p w:rsidR="005E2168" w:rsidRDefault="005E2168" w:rsidP="005E2168">
      <w:pPr>
        <w:rPr>
          <w:rFonts w:cs="Calibri"/>
          <w:sz w:val="18"/>
          <w:szCs w:val="18"/>
        </w:rPr>
      </w:pPr>
    </w:p>
    <w:p w:rsidR="005E2168" w:rsidRDefault="005E2168" w:rsidP="005E2168">
      <w:pPr>
        <w:rPr>
          <w:rFonts w:cs="Calibri"/>
          <w:sz w:val="18"/>
          <w:szCs w:val="18"/>
        </w:rPr>
      </w:pPr>
    </w:p>
    <w:p w:rsidR="005E2168" w:rsidRPr="00B27B48" w:rsidRDefault="005E2168" w:rsidP="005E2168">
      <w:pPr>
        <w:rPr>
          <w:rFonts w:cs="Calibri"/>
          <w:b/>
          <w:sz w:val="18"/>
          <w:szCs w:val="18"/>
        </w:rPr>
      </w:pPr>
      <w:r w:rsidRPr="00B27B48">
        <w:rPr>
          <w:rFonts w:cs="Calibri" w:hint="eastAsia"/>
          <w:b/>
          <w:sz w:val="18"/>
          <w:szCs w:val="18"/>
        </w:rPr>
        <w:t>Table S5.</w:t>
      </w:r>
      <w:r w:rsidRPr="00B27B48">
        <w:rPr>
          <w:rFonts w:cs="Calibri" w:hint="eastAsia"/>
          <w:sz w:val="18"/>
          <w:szCs w:val="18"/>
        </w:rPr>
        <w:t xml:space="preserve"> </w:t>
      </w:r>
      <w:r w:rsidRPr="00B27B48">
        <w:rPr>
          <w:rFonts w:cs="Calibri"/>
          <w:sz w:val="18"/>
          <w:szCs w:val="18"/>
        </w:rPr>
        <w:t>Loss of BAP1, ARID1A and PBRM1 expressions</w:t>
      </w:r>
      <w:r w:rsidRPr="00B27B48">
        <w:rPr>
          <w:rFonts w:cs="Calibri" w:hint="eastAsia"/>
          <w:sz w:val="18"/>
          <w:szCs w:val="18"/>
        </w:rPr>
        <w:t xml:space="preserve"> in ICCs</w:t>
      </w:r>
    </w:p>
    <w:tbl>
      <w:tblPr>
        <w:tblW w:w="3840" w:type="dxa"/>
        <w:tblInd w:w="100" w:type="dxa"/>
        <w:tblLook w:val="04A0"/>
      </w:tblPr>
      <w:tblGrid>
        <w:gridCol w:w="960"/>
        <w:gridCol w:w="960"/>
        <w:gridCol w:w="960"/>
        <w:gridCol w:w="960"/>
      </w:tblGrid>
      <w:tr w:rsidR="005E2168" w:rsidRPr="00B27B48" w:rsidTr="00EA15D9">
        <w:trPr>
          <w:trHeight w:val="28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Factors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</w:t>
            </w:r>
            <w:r w:rsidRPr="00B27B48">
              <w:rPr>
                <w:rFonts w:cs="Calibri" w:hint="eastAsia"/>
                <w:b/>
                <w:color w:val="000000"/>
                <w:kern w:val="0"/>
                <w:sz w:val="16"/>
                <w:szCs w:val="16"/>
              </w:rPr>
              <w:t xml:space="preserve">core </w:t>
            </w: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</w:t>
            </w:r>
            <w:r w:rsidRPr="00B27B48">
              <w:rPr>
                <w:rFonts w:cs="Calibri" w:hint="eastAsia"/>
                <w:b/>
                <w:color w:val="000000"/>
                <w:kern w:val="0"/>
                <w:sz w:val="16"/>
                <w:szCs w:val="16"/>
              </w:rPr>
              <w:t xml:space="preserve">core </w:t>
            </w: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S</w:t>
            </w:r>
            <w:r w:rsidRPr="00B27B48">
              <w:rPr>
                <w:rFonts w:cs="Calibri" w:hint="eastAsia"/>
                <w:b/>
                <w:color w:val="000000"/>
                <w:kern w:val="0"/>
                <w:sz w:val="16"/>
                <w:szCs w:val="16"/>
              </w:rPr>
              <w:t xml:space="preserve">core </w:t>
            </w: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5E2168" w:rsidRPr="00B27B48" w:rsidTr="00EA15D9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BAP1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47(36.2%)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11(8.5%)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72(55.4%)</w:t>
            </w:r>
          </w:p>
        </w:tc>
      </w:tr>
      <w:tr w:rsidR="005E2168" w:rsidRPr="00B27B48" w:rsidTr="00EA15D9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ARID1A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24(18.5%)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4(3.1%)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102(78.5%)</w:t>
            </w:r>
          </w:p>
        </w:tc>
      </w:tr>
      <w:tr w:rsidR="005E2168" w:rsidRPr="00B27B48" w:rsidTr="00EA15D9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b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b/>
                <w:color w:val="000000"/>
                <w:kern w:val="0"/>
                <w:sz w:val="16"/>
                <w:szCs w:val="16"/>
              </w:rPr>
              <w:t>PBRM1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42(32.3%)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3(2.3%)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B27B48" w:rsidRDefault="005E2168" w:rsidP="00EA15D9">
            <w:pPr>
              <w:widowControl/>
              <w:adjustRightInd w:val="0"/>
              <w:snapToGrid w:val="0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B27B48">
              <w:rPr>
                <w:rFonts w:cs="Calibri"/>
                <w:color w:val="000000"/>
                <w:kern w:val="0"/>
                <w:sz w:val="16"/>
                <w:szCs w:val="16"/>
              </w:rPr>
              <w:t>85(65.4%)</w:t>
            </w:r>
          </w:p>
        </w:tc>
      </w:tr>
    </w:tbl>
    <w:p w:rsidR="005E2168" w:rsidRPr="00B27B48" w:rsidRDefault="005E2168" w:rsidP="005E2168">
      <w:pPr>
        <w:rPr>
          <w:rFonts w:cs="Calibri"/>
          <w:sz w:val="18"/>
          <w:szCs w:val="18"/>
        </w:rPr>
      </w:pPr>
    </w:p>
    <w:p w:rsidR="005E2168" w:rsidRPr="00B27B48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sz w:val="18"/>
          <w:szCs w:val="18"/>
        </w:rPr>
      </w:pPr>
      <w:r w:rsidRPr="00B27B48">
        <w:rPr>
          <w:rFonts w:cs="Calibri" w:hint="eastAsia"/>
          <w:b/>
          <w:sz w:val="18"/>
          <w:szCs w:val="18"/>
        </w:rPr>
        <w:t>Table S6.</w:t>
      </w:r>
      <w:r w:rsidRPr="00B27B48">
        <w:rPr>
          <w:rFonts w:cs="Calibri" w:hint="eastAsia"/>
          <w:sz w:val="18"/>
          <w:szCs w:val="18"/>
        </w:rPr>
        <w:t xml:space="preserve"> The </w:t>
      </w:r>
      <w:r w:rsidRPr="00B27B48">
        <w:rPr>
          <w:rFonts w:cs="Calibri"/>
          <w:sz w:val="18"/>
          <w:szCs w:val="18"/>
        </w:rPr>
        <w:t>correlation among BAP1, ARID1A and PBR</w:t>
      </w:r>
      <w:r w:rsidRPr="00D07ECE">
        <w:rPr>
          <w:rFonts w:cs="Calibri"/>
          <w:sz w:val="18"/>
          <w:szCs w:val="18"/>
        </w:rPr>
        <w:t>M1 expression</w:t>
      </w:r>
      <w:r w:rsidRPr="00D07ECE">
        <w:rPr>
          <w:rFonts w:cs="Calibri" w:hint="eastAsia"/>
          <w:sz w:val="18"/>
          <w:szCs w:val="18"/>
        </w:rPr>
        <w:t xml:space="preserve"> loss</w:t>
      </w:r>
    </w:p>
    <w:tbl>
      <w:tblPr>
        <w:tblW w:w="5736" w:type="dxa"/>
        <w:tblInd w:w="98" w:type="dxa"/>
        <w:tblLook w:val="04A0"/>
      </w:tblPr>
      <w:tblGrid>
        <w:gridCol w:w="703"/>
        <w:gridCol w:w="768"/>
        <w:gridCol w:w="464"/>
        <w:gridCol w:w="841"/>
        <w:gridCol w:w="712"/>
        <w:gridCol w:w="222"/>
        <w:gridCol w:w="464"/>
        <w:gridCol w:w="850"/>
        <w:gridCol w:w="712"/>
      </w:tblGrid>
      <w:tr w:rsidR="005E2168" w:rsidRPr="00D07ECE" w:rsidTr="00EA15D9">
        <w:trPr>
          <w:trHeight w:val="219"/>
        </w:trPr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Mutant</w:t>
            </w: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ARID1A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PBRM1</w:t>
            </w:r>
          </w:p>
        </w:tc>
      </w:tr>
      <w:tr w:rsidR="005E2168" w:rsidRPr="00D07ECE" w:rsidTr="00EA15D9">
        <w:trPr>
          <w:trHeight w:val="219"/>
        </w:trPr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factors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loss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retained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loss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retained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5E2168" w:rsidRPr="00D07ECE" w:rsidTr="00EA15D9">
        <w:trPr>
          <w:trHeight w:val="219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BAP1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loss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0.018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0.000</w:t>
            </w:r>
          </w:p>
        </w:tc>
      </w:tr>
      <w:tr w:rsidR="005E2168" w:rsidRPr="00D07ECE" w:rsidTr="00EA15D9">
        <w:trPr>
          <w:trHeight w:val="219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retained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9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PBRM1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loss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9"/>
        </w:trPr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retained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5E2168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sz w:val="18"/>
          <w:szCs w:val="18"/>
        </w:rPr>
      </w:pPr>
      <w:r w:rsidRPr="00D07ECE">
        <w:rPr>
          <w:rFonts w:cs="Calibri"/>
          <w:b/>
          <w:sz w:val="18"/>
          <w:szCs w:val="18"/>
        </w:rPr>
        <w:t>Table</w:t>
      </w:r>
      <w:r w:rsidRPr="00D07ECE">
        <w:rPr>
          <w:rFonts w:cs="Calibri" w:hint="eastAsia"/>
          <w:b/>
          <w:sz w:val="18"/>
          <w:szCs w:val="18"/>
        </w:rPr>
        <w:t xml:space="preserve"> S</w:t>
      </w:r>
      <w:r>
        <w:rPr>
          <w:rFonts w:cs="Calibri" w:hint="eastAsia"/>
          <w:b/>
          <w:sz w:val="18"/>
          <w:szCs w:val="18"/>
        </w:rPr>
        <w:t>7</w:t>
      </w:r>
      <w:r w:rsidRPr="00D07ECE">
        <w:rPr>
          <w:rFonts w:cs="Calibri" w:hint="eastAsia"/>
          <w:b/>
          <w:sz w:val="18"/>
          <w:szCs w:val="18"/>
        </w:rPr>
        <w:t xml:space="preserve">. </w:t>
      </w:r>
      <w:r w:rsidRPr="00D07ECE">
        <w:rPr>
          <w:rFonts w:cs="Calibri"/>
          <w:sz w:val="18"/>
          <w:szCs w:val="18"/>
        </w:rPr>
        <w:t xml:space="preserve">Comparisons of clinicopathologic characteristics between </w:t>
      </w:r>
      <w:r w:rsidRPr="00D07ECE">
        <w:rPr>
          <w:rFonts w:cs="Calibri" w:hint="eastAsia"/>
          <w:sz w:val="18"/>
          <w:szCs w:val="18"/>
        </w:rPr>
        <w:t>BAP1 expression loss and retained in</w:t>
      </w:r>
      <w:r w:rsidRPr="00D07ECE">
        <w:rPr>
          <w:rFonts w:cs="Calibri"/>
          <w:sz w:val="18"/>
          <w:szCs w:val="18"/>
        </w:rPr>
        <w:t xml:space="preserve"> ICCs</w:t>
      </w:r>
      <w:r w:rsidRPr="00D07ECE">
        <w:rPr>
          <w:rFonts w:cs="Calibri" w:hint="eastAsia"/>
          <w:sz w:val="18"/>
          <w:szCs w:val="18"/>
        </w:rPr>
        <w:t xml:space="preserve"> and their subtypes</w:t>
      </w:r>
    </w:p>
    <w:tbl>
      <w:tblPr>
        <w:tblW w:w="9933" w:type="dxa"/>
        <w:tblInd w:w="98" w:type="dxa"/>
        <w:tblLook w:val="04A0"/>
      </w:tblPr>
      <w:tblGrid>
        <w:gridCol w:w="1320"/>
        <w:gridCol w:w="876"/>
        <w:gridCol w:w="1216"/>
        <w:gridCol w:w="701"/>
        <w:gridCol w:w="292"/>
        <w:gridCol w:w="874"/>
        <w:gridCol w:w="968"/>
        <w:gridCol w:w="851"/>
        <w:gridCol w:w="283"/>
        <w:gridCol w:w="874"/>
        <w:gridCol w:w="969"/>
        <w:gridCol w:w="709"/>
      </w:tblGrid>
      <w:tr w:rsidR="005E2168" w:rsidRPr="00D07ECE" w:rsidTr="00EA15D9">
        <w:trPr>
          <w:trHeight w:val="210"/>
        </w:trPr>
        <w:tc>
          <w:tcPr>
            <w:tcW w:w="13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Clinical variables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Total cohort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Large bile duct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Small bile duct</w:t>
            </w: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BAP1  loss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BAP1  retained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P-valve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BAP1  loss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BAP1  retained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BAP1  loss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BAP1  retained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P-valve</w:t>
            </w:r>
          </w:p>
        </w:tc>
      </w:tr>
      <w:tr w:rsidR="005E2168" w:rsidRPr="00D07ECE" w:rsidTr="00EA15D9">
        <w:trPr>
          <w:trHeight w:val="210"/>
        </w:trPr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ALT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 (U/L)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0.908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0.211</w:t>
            </w: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&lt;40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43(74.1%)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52(73.2%)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10(83.3%)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6(40.0%)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33(71.7%)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46(82.1%)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≥40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15(25.9%)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19(26.8%)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2(16.7%)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9(60.0%)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13(28.3%)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10(17.9%)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AST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 (U/L)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0.495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0.326</w:t>
            </w: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&lt;40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47(81.0%)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54(76.1%)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11(91.7%)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6(40.0%)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36(78.3%)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48(85.7%)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≥40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11(19.0%)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17(23.9%)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1(8.3%)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9(50.0%)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10(21.7%)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8(14.3%)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TBIL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 (umol/L)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0.861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0.117</w:t>
            </w: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&lt;21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36(62.1%)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43(60.6%)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10(83.3%)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3(20.0%)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26(56.5%)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40(71.4%)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≥21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22(37.9%)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28(39.4%)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2(16.7%)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12(80.0%)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20(43.5%)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16(28.6%)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Diameter of tumor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0.136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0.217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0.013</w:t>
            </w: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＜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23(39.7%)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38(52.8%)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10(83.3%)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8(53.3%)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13(28.3%)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30(52.6%)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≥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35(60.3%)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34(47.2%)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2(16.7%)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7(46.7%)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33(71.7%)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27(47.4%)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Histological differentiation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0.356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0.793</w:t>
            </w: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23(41.4%)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35(49.3%)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1(8.3%)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8(57.1%)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22(50.0%)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27(47.4%)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Moderately to high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33(58.9%)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36(50.7%)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11(91.7%)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6(42.9%)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22(50.0%)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30(52.6%)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Histological subtype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0.984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Large duct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12(20.7%)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15(20.8%)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Small duct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46(79.3%)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57(79.2%)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5E2168" w:rsidRDefault="005E2168" w:rsidP="005E2168">
      <w:pPr>
        <w:rPr>
          <w:rFonts w:cs="Calibri"/>
          <w:b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b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b/>
          <w:sz w:val="18"/>
          <w:szCs w:val="18"/>
        </w:rPr>
      </w:pPr>
      <w:r w:rsidRPr="00D07ECE">
        <w:rPr>
          <w:rFonts w:cs="Calibri"/>
          <w:b/>
          <w:sz w:val="18"/>
          <w:szCs w:val="18"/>
        </w:rPr>
        <w:t>Table</w:t>
      </w:r>
      <w:r w:rsidRPr="00D07ECE">
        <w:rPr>
          <w:rFonts w:cs="Calibri" w:hint="eastAsia"/>
          <w:b/>
          <w:sz w:val="18"/>
          <w:szCs w:val="18"/>
        </w:rPr>
        <w:t xml:space="preserve"> S</w:t>
      </w:r>
      <w:r>
        <w:rPr>
          <w:rFonts w:cs="Calibri" w:hint="eastAsia"/>
          <w:b/>
          <w:sz w:val="18"/>
          <w:szCs w:val="18"/>
        </w:rPr>
        <w:t>8</w:t>
      </w:r>
      <w:r w:rsidRPr="00D07ECE">
        <w:rPr>
          <w:rFonts w:cs="Calibri" w:hint="eastAsia"/>
          <w:b/>
          <w:sz w:val="18"/>
          <w:szCs w:val="18"/>
        </w:rPr>
        <w:t xml:space="preserve">. </w:t>
      </w:r>
      <w:r w:rsidRPr="00D07ECE">
        <w:rPr>
          <w:rFonts w:cs="Calibri"/>
          <w:sz w:val="18"/>
          <w:szCs w:val="18"/>
        </w:rPr>
        <w:t xml:space="preserve">Comparisons of clinicopathologic characteristics between </w:t>
      </w:r>
      <w:r w:rsidRPr="00D07ECE">
        <w:rPr>
          <w:rFonts w:cs="Calibri" w:hint="eastAsia"/>
          <w:sz w:val="18"/>
          <w:szCs w:val="18"/>
        </w:rPr>
        <w:t>ARID1A expression loss and retained in</w:t>
      </w:r>
      <w:r w:rsidRPr="00D07ECE">
        <w:rPr>
          <w:rFonts w:cs="Calibri"/>
          <w:sz w:val="18"/>
          <w:szCs w:val="18"/>
        </w:rPr>
        <w:t xml:space="preserve"> ICCs</w:t>
      </w:r>
      <w:r w:rsidRPr="00D07ECE">
        <w:rPr>
          <w:rFonts w:cs="Calibri" w:hint="eastAsia"/>
          <w:sz w:val="18"/>
          <w:szCs w:val="18"/>
        </w:rPr>
        <w:t xml:space="preserve"> and their subtypes</w:t>
      </w:r>
    </w:p>
    <w:tbl>
      <w:tblPr>
        <w:tblW w:w="9508" w:type="dxa"/>
        <w:tblInd w:w="98" w:type="dxa"/>
        <w:tblLook w:val="04A0"/>
      </w:tblPr>
      <w:tblGrid>
        <w:gridCol w:w="1048"/>
        <w:gridCol w:w="909"/>
        <w:gridCol w:w="1136"/>
        <w:gridCol w:w="702"/>
        <w:gridCol w:w="282"/>
        <w:gridCol w:w="874"/>
        <w:gridCol w:w="874"/>
        <w:gridCol w:w="796"/>
        <w:gridCol w:w="282"/>
        <w:gridCol w:w="955"/>
        <w:gridCol w:w="947"/>
        <w:gridCol w:w="703"/>
      </w:tblGrid>
      <w:tr w:rsidR="005E2168" w:rsidRPr="00D07ECE" w:rsidTr="00EA15D9">
        <w:trPr>
          <w:trHeight w:val="210"/>
        </w:trPr>
        <w:tc>
          <w:tcPr>
            <w:tcW w:w="104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Clinical variables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Total cohort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Large bile duct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Small bile duct</w:t>
            </w: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ARID1A  loss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ARID1A  retained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P-valve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ARID1A  loss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ARID1A  retained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P-valve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ARID1A  loss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ARID1A  retained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P-valve</w:t>
            </w:r>
          </w:p>
        </w:tc>
      </w:tr>
      <w:tr w:rsidR="005E2168" w:rsidRPr="00D07ECE" w:rsidTr="00EA15D9">
        <w:trPr>
          <w:trHeight w:val="210"/>
        </w:trPr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ALT 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(U/L)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0.034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0.692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0.006</w:t>
            </w: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＜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25(89.3%)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70(69.3%)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6(66.7%)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10(55.6%)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19(100.0%)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60(72.3%)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≥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3(10.7%)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31(30.7%)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3(33.3%)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8(44.4%)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0(0.0%)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23(27.7%)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AST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 (U/L)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0.035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0.406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0.021</w:t>
            </w: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＜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26(92.9%)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75(74.3%)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7(77.8%)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10(55.6%)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19(100.0%)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65(78.3%)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≥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2(7.1%)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26(25.7%)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2(22.2%)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8(44.4%)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0(0.0%)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18(21.7%)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Liver cirrhosis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0.005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0.636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0.008</w:t>
            </w: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25(89.3%)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62(60.8%)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8(88.9%)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14(77.8%)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17(89.5%)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48(57.1%)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3(10.7%)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40((39.2%)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1(11.1%)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4(22.2%)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2(10.5%)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36(42.9%)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Diameter of tumor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(cm)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0.180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1.000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0.043</w:t>
            </w: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＜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10(35.7%)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51(50.0%)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6(66.7%)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12(66.7%)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4(21.1%)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39(46.4%)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≥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5.0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18(64.3%)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51(50.0%)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3(33.3%)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6(33.3%)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15(78.9%)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45(53.6%)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N classification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0.183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0.021</w:t>
            </w: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N0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16(88.9%)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29(54.7%)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6(75.0%)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5(35.7%)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10(100.0%)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24(61.5%)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N1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2(11.1%)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24(45.3%)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2(25.0%)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9(64.3%)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0(0.0%)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15(38.5%)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TNM stage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0.046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0.343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D07ECE">
              <w:rPr>
                <w:rFonts w:cs="Calibri"/>
                <w:b/>
                <w:bCs/>
                <w:kern w:val="0"/>
                <w:sz w:val="16"/>
                <w:szCs w:val="16"/>
              </w:rPr>
              <w:t>0.040</w:t>
            </w: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I</w:t>
            </w: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～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14(73.7%)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26(47.3%)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4(50.0%)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3(21.4%)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10(90.9%)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23(56.1%)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III</w:t>
            </w:r>
            <w:r w:rsidRPr="00D07ECE">
              <w:rPr>
                <w:rFonts w:ascii="宋体" w:hAnsi="宋体" w:cs="Calibri" w:hint="eastAsia"/>
                <w:color w:val="000000"/>
                <w:kern w:val="0"/>
                <w:sz w:val="16"/>
                <w:szCs w:val="16"/>
              </w:rPr>
              <w:t>～</w:t>
            </w: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5(26.3%)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29(52.7%)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4(50.0%)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11(78.6%)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1(9.1%)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D07ECE">
              <w:rPr>
                <w:rFonts w:cs="Calibri"/>
                <w:kern w:val="0"/>
                <w:sz w:val="16"/>
                <w:szCs w:val="16"/>
              </w:rPr>
              <w:t>18(43.9%)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9A4CEC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Histological subtype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9A4CEC">
              <w:rPr>
                <w:rFonts w:cs="Calibri"/>
                <w:color w:val="000000"/>
                <w:kern w:val="0"/>
                <w:sz w:val="16"/>
                <w:szCs w:val="16"/>
              </w:rPr>
              <w:t>0.094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9A4CEC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Large duct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9A4CEC">
              <w:rPr>
                <w:rFonts w:cs="Calibri"/>
                <w:kern w:val="0"/>
                <w:sz w:val="16"/>
                <w:szCs w:val="16"/>
              </w:rPr>
              <w:t>9(32.1%)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9A4CEC">
              <w:rPr>
                <w:rFonts w:cs="Calibri"/>
                <w:color w:val="000000"/>
                <w:kern w:val="0"/>
                <w:sz w:val="16"/>
                <w:szCs w:val="16"/>
              </w:rPr>
              <w:t>18(17.6%)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</w:tr>
      <w:tr w:rsidR="005E2168" w:rsidRPr="00D07ECE" w:rsidTr="00EA15D9">
        <w:trPr>
          <w:trHeight w:val="210"/>
        </w:trPr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9A4CEC">
              <w:rPr>
                <w:rFonts w:cs="Calibri"/>
                <w:color w:val="000000"/>
                <w:kern w:val="0"/>
                <w:sz w:val="16"/>
                <w:szCs w:val="16"/>
              </w:rPr>
              <w:t>Small duct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9A4CEC">
              <w:rPr>
                <w:rFonts w:cs="Calibri"/>
                <w:color w:val="000000"/>
                <w:kern w:val="0"/>
                <w:sz w:val="16"/>
                <w:szCs w:val="16"/>
              </w:rPr>
              <w:t>19(67.9%)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9A4CEC">
              <w:rPr>
                <w:rFonts w:cs="Calibri"/>
                <w:color w:val="000000"/>
                <w:kern w:val="0"/>
                <w:sz w:val="16"/>
                <w:szCs w:val="16"/>
              </w:rPr>
              <w:t>84(82.4%)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9A4CEC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D07ECE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D07ECE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5E2168" w:rsidRDefault="005E2168" w:rsidP="005E2168">
      <w:pPr>
        <w:rPr>
          <w:rFonts w:cs="Calibri"/>
          <w:b/>
          <w:sz w:val="18"/>
          <w:szCs w:val="18"/>
        </w:rPr>
      </w:pPr>
    </w:p>
    <w:p w:rsidR="005E2168" w:rsidRDefault="005E2168" w:rsidP="005E2168">
      <w:pPr>
        <w:rPr>
          <w:rFonts w:cs="Calibri"/>
          <w:b/>
          <w:sz w:val="18"/>
          <w:szCs w:val="18"/>
        </w:rPr>
      </w:pPr>
    </w:p>
    <w:p w:rsidR="005E2168" w:rsidRPr="00D07ECE" w:rsidRDefault="005E2168" w:rsidP="005E2168">
      <w:pPr>
        <w:rPr>
          <w:rFonts w:cs="Calibri"/>
          <w:b/>
          <w:sz w:val="18"/>
          <w:szCs w:val="18"/>
        </w:rPr>
      </w:pPr>
      <w:r w:rsidRPr="00D07ECE">
        <w:rPr>
          <w:rFonts w:cs="Calibri" w:hint="eastAsia"/>
          <w:b/>
          <w:sz w:val="18"/>
          <w:szCs w:val="18"/>
        </w:rPr>
        <w:t>Table S</w:t>
      </w:r>
      <w:r>
        <w:rPr>
          <w:rFonts w:cs="Calibri" w:hint="eastAsia"/>
          <w:b/>
          <w:sz w:val="18"/>
          <w:szCs w:val="18"/>
        </w:rPr>
        <w:t>9</w:t>
      </w:r>
      <w:r w:rsidRPr="00D07ECE">
        <w:rPr>
          <w:rFonts w:cs="Calibri" w:hint="eastAsia"/>
          <w:b/>
          <w:sz w:val="18"/>
          <w:szCs w:val="18"/>
        </w:rPr>
        <w:t xml:space="preserve">. </w:t>
      </w:r>
      <w:r w:rsidRPr="00D07ECE">
        <w:rPr>
          <w:rFonts w:cs="Calibri"/>
          <w:sz w:val="18"/>
          <w:szCs w:val="18"/>
        </w:rPr>
        <w:t xml:space="preserve">Comparisons of clinicopathologic characteristics between </w:t>
      </w:r>
      <w:r w:rsidRPr="00D07ECE">
        <w:rPr>
          <w:rFonts w:cs="Calibri" w:hint="eastAsia"/>
          <w:sz w:val="18"/>
          <w:szCs w:val="18"/>
        </w:rPr>
        <w:t>PBRM1 expression loss and retained in</w:t>
      </w:r>
      <w:r w:rsidRPr="00D07ECE">
        <w:rPr>
          <w:rFonts w:cs="Calibri"/>
          <w:sz w:val="18"/>
          <w:szCs w:val="18"/>
        </w:rPr>
        <w:t xml:space="preserve"> ICCs</w:t>
      </w:r>
      <w:r w:rsidRPr="00D07ECE">
        <w:rPr>
          <w:rFonts w:cs="Calibri" w:hint="eastAsia"/>
          <w:sz w:val="18"/>
          <w:szCs w:val="18"/>
        </w:rPr>
        <w:t xml:space="preserve"> and their subtypes</w:t>
      </w:r>
    </w:p>
    <w:tbl>
      <w:tblPr>
        <w:tblW w:w="9489" w:type="dxa"/>
        <w:tblInd w:w="98" w:type="dxa"/>
        <w:tblLook w:val="04A0"/>
      </w:tblPr>
      <w:tblGrid>
        <w:gridCol w:w="913"/>
        <w:gridCol w:w="876"/>
        <w:gridCol w:w="1108"/>
        <w:gridCol w:w="704"/>
        <w:gridCol w:w="223"/>
        <w:gridCol w:w="958"/>
        <w:gridCol w:w="1108"/>
        <w:gridCol w:w="703"/>
        <w:gridCol w:w="223"/>
        <w:gridCol w:w="876"/>
        <w:gridCol w:w="1108"/>
        <w:gridCol w:w="689"/>
      </w:tblGrid>
      <w:tr w:rsidR="005E2168" w:rsidRPr="003F5DCA" w:rsidTr="00EA15D9">
        <w:trPr>
          <w:trHeight w:val="226"/>
        </w:trPr>
        <w:tc>
          <w:tcPr>
            <w:tcW w:w="91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Clinical variables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Total cohort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Large bile duct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Small bile duct</w:t>
            </w: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PBRM1  loss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PBRM1 retained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P-valve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PBRM1  loss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PBRM1 retained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P-valve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PBRM1  loss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PBRM1 retained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P-valve</w:t>
            </w:r>
          </w:p>
        </w:tc>
      </w:tr>
      <w:tr w:rsidR="005E2168" w:rsidRPr="003F5DCA" w:rsidTr="00EA15D9">
        <w:trPr>
          <w:trHeight w:val="226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AST</w:t>
            </w: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  (U/L)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0.091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kern w:val="0"/>
                <w:sz w:val="16"/>
                <w:szCs w:val="16"/>
              </w:rPr>
              <w:t>0.018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0.582</w:t>
            </w: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＜</w:t>
            </w: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39(86.7%)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62(73.8%)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10(90.9%)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7(43.8%)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29(85.3%)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55(80.9%)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≥40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6(13.3%)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22(26.2%)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1(9.1%)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9(56.3%)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5(14.7%)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13(19.1%)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TBIL </w:t>
            </w: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 (umol/L)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0.109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kern w:val="0"/>
                <w:sz w:val="16"/>
                <w:szCs w:val="16"/>
              </w:rPr>
              <w:t>0.022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0.707</w:t>
            </w: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＜</w:t>
            </w: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40(88.9%)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65(77.4%)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11(100.0%)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9(56.3%)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29(85.3%)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56(82.4%)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≥21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5(11.1%)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19(22.6%)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0(0.0%)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7(43.8%)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5(14.7%)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12(17.6%)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 xml:space="preserve">DBIL </w:t>
            </w: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 (umol/L)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0.832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kern w:val="0"/>
                <w:sz w:val="16"/>
                <w:szCs w:val="16"/>
              </w:rPr>
              <w:t>0.034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0.187</w:t>
            </w: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＜</w:t>
            </w: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3.4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27(60.0%)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52(61.9%)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8(72.7%)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5(31.3%)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19(55.9%)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47(69.1%)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≥3.4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18(40.0%)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32(38.1%)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3(27.3%)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11(68.8%)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15(44.1%)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21(30.9%)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CA19-9</w:t>
            </w: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  (U/ml)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0.465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kern w:val="0"/>
                <w:sz w:val="16"/>
                <w:szCs w:val="16"/>
              </w:rPr>
              <w:t>0.027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0.091</w:t>
            </w: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＜</w:t>
            </w: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20(44.4%)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43(51.2%)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5(45.5%)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1(6.3%)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15(44.1%)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42(61.8%)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≥39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25(55.6%)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41(48.8%)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6(54.5%)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15(93.8%)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19(55.9%)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26(38.2%)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Liver cirrhosis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9A4CEC">
              <w:rPr>
                <w:rFonts w:cs="Calibri"/>
                <w:kern w:val="0"/>
                <w:sz w:val="16"/>
                <w:szCs w:val="16"/>
              </w:rPr>
              <w:t>0.056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1.000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b/>
                <w:bCs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kern w:val="0"/>
                <w:sz w:val="16"/>
                <w:szCs w:val="16"/>
              </w:rPr>
              <w:t>0.048</w:t>
            </w: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35(77.8%)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52(61.2%)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9(81.8%)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13(81.3%)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26(76.5%)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39(56.5%)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lastRenderedPageBreak/>
              <w:t>Positive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10(22.2%)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33(38.8%)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9A4CEC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2(18.2%)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3(18.8%)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8(23.5%)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30(43.5%)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left"/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b/>
                <w:bCs/>
                <w:color w:val="000000"/>
                <w:kern w:val="0"/>
                <w:sz w:val="16"/>
                <w:szCs w:val="16"/>
              </w:rPr>
              <w:t>Histological subtype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0.452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Large duct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kern w:val="0"/>
                <w:sz w:val="16"/>
                <w:szCs w:val="16"/>
              </w:rPr>
            </w:pPr>
            <w:r w:rsidRPr="003F5DCA">
              <w:rPr>
                <w:rFonts w:cs="Calibri"/>
                <w:kern w:val="0"/>
                <w:sz w:val="16"/>
                <w:szCs w:val="16"/>
              </w:rPr>
              <w:t>11(24.4%)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16(18.8%)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</w:p>
        </w:tc>
      </w:tr>
      <w:tr w:rsidR="005E2168" w:rsidRPr="003F5DCA" w:rsidTr="00EA15D9">
        <w:trPr>
          <w:trHeight w:val="226"/>
        </w:trPr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Small duct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34(75.6%)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>69(81.2%)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16"/>
                <w:szCs w:val="16"/>
              </w:rPr>
            </w:pPr>
            <w:r w:rsidRPr="003F5DCA">
              <w:rPr>
                <w:rFonts w:cs="Calibri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  <w:r w:rsidRPr="003F5DCA"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  <w:r w:rsidRPr="003F5DCA"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  <w:r w:rsidRPr="003F5DCA"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  <w:r w:rsidRPr="003F5DCA"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  <w:r w:rsidRPr="003F5DCA"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  <w:r w:rsidRPr="003F5DCA"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  <w:r w:rsidRPr="003F5DCA"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168" w:rsidRPr="003F5DCA" w:rsidRDefault="005E2168" w:rsidP="00EA15D9">
            <w:pPr>
              <w:widowControl/>
              <w:adjustRightInd w:val="0"/>
              <w:snapToGrid w:val="0"/>
              <w:spacing w:line="180" w:lineRule="auto"/>
              <w:jc w:val="center"/>
              <w:rPr>
                <w:rFonts w:cs="Calibri"/>
                <w:color w:val="000000"/>
                <w:kern w:val="0"/>
                <w:sz w:val="22"/>
              </w:rPr>
            </w:pPr>
            <w:r w:rsidRPr="003F5DCA">
              <w:rPr>
                <w:rFonts w:cs="Calibri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5E2168" w:rsidRPr="001A30BA" w:rsidRDefault="005E2168" w:rsidP="005E2168">
      <w:pPr>
        <w:rPr>
          <w:rFonts w:cs="Calibri"/>
          <w:b/>
          <w:sz w:val="18"/>
          <w:szCs w:val="18"/>
        </w:rPr>
      </w:pPr>
    </w:p>
    <w:p w:rsidR="007018FD" w:rsidRDefault="007018FD"/>
    <w:sectPr w:rsidR="007018FD" w:rsidSect="00857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DAB" w:rsidRDefault="001D6DAB" w:rsidP="005E2168">
      <w:r>
        <w:separator/>
      </w:r>
    </w:p>
  </w:endnote>
  <w:endnote w:type="continuationSeparator" w:id="1">
    <w:p w:rsidR="001D6DAB" w:rsidRDefault="001D6DAB" w:rsidP="005E2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DAB" w:rsidRDefault="001D6DAB" w:rsidP="005E2168">
      <w:r>
        <w:separator/>
      </w:r>
    </w:p>
  </w:footnote>
  <w:footnote w:type="continuationSeparator" w:id="1">
    <w:p w:rsidR="001D6DAB" w:rsidRDefault="001D6DAB" w:rsidP="005E2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7FD1"/>
    <w:multiLevelType w:val="hybridMultilevel"/>
    <w:tmpl w:val="2FAE8110"/>
    <w:lvl w:ilvl="0" w:tplc="D86AE4C6">
      <w:start w:val="1"/>
      <w:numFmt w:val="decimal"/>
      <w:lvlText w:val="%1"/>
      <w:lvlJc w:val="left"/>
      <w:pPr>
        <w:ind w:left="550" w:hanging="5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620BF4"/>
    <w:multiLevelType w:val="hybridMultilevel"/>
    <w:tmpl w:val="AD482D1E"/>
    <w:lvl w:ilvl="0" w:tplc="02028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994F4F"/>
    <w:multiLevelType w:val="hybridMultilevel"/>
    <w:tmpl w:val="7770702E"/>
    <w:lvl w:ilvl="0" w:tplc="1E168478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0" w:hanging="420"/>
      </w:pPr>
    </w:lvl>
    <w:lvl w:ilvl="2" w:tplc="0409001B" w:tentative="1">
      <w:start w:val="1"/>
      <w:numFmt w:val="lowerRoman"/>
      <w:lvlText w:val="%3."/>
      <w:lvlJc w:val="righ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9" w:tentative="1">
      <w:start w:val="1"/>
      <w:numFmt w:val="lowerLetter"/>
      <w:lvlText w:val="%5)"/>
      <w:lvlJc w:val="left"/>
      <w:pPr>
        <w:ind w:left="2530" w:hanging="420"/>
      </w:pPr>
    </w:lvl>
    <w:lvl w:ilvl="5" w:tplc="0409001B" w:tentative="1">
      <w:start w:val="1"/>
      <w:numFmt w:val="lowerRoman"/>
      <w:lvlText w:val="%6."/>
      <w:lvlJc w:val="righ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9" w:tentative="1">
      <w:start w:val="1"/>
      <w:numFmt w:val="lowerLetter"/>
      <w:lvlText w:val="%8)"/>
      <w:lvlJc w:val="left"/>
      <w:pPr>
        <w:ind w:left="3790" w:hanging="420"/>
      </w:pPr>
    </w:lvl>
    <w:lvl w:ilvl="8" w:tplc="0409001B" w:tentative="1">
      <w:start w:val="1"/>
      <w:numFmt w:val="lowerRoman"/>
      <w:lvlText w:val="%9."/>
      <w:lvlJc w:val="right"/>
      <w:pPr>
        <w:ind w:left="4210" w:hanging="420"/>
      </w:pPr>
    </w:lvl>
  </w:abstractNum>
  <w:abstractNum w:abstractNumId="3">
    <w:nsid w:val="620071A4"/>
    <w:multiLevelType w:val="hybridMultilevel"/>
    <w:tmpl w:val="86A4BAE0"/>
    <w:lvl w:ilvl="0" w:tplc="85547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168"/>
    <w:rsid w:val="000525B1"/>
    <w:rsid w:val="000C504E"/>
    <w:rsid w:val="001D6DAB"/>
    <w:rsid w:val="003F4600"/>
    <w:rsid w:val="005E2168"/>
    <w:rsid w:val="007018FD"/>
    <w:rsid w:val="00857BC9"/>
    <w:rsid w:val="00C3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2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21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168"/>
    <w:rPr>
      <w:sz w:val="18"/>
      <w:szCs w:val="18"/>
    </w:rPr>
  </w:style>
  <w:style w:type="paragraph" w:styleId="a5">
    <w:name w:val="List Paragraph"/>
    <w:basedOn w:val="a"/>
    <w:uiPriority w:val="34"/>
    <w:qFormat/>
    <w:rsid w:val="005E2168"/>
    <w:pPr>
      <w:ind w:firstLineChars="200" w:firstLine="420"/>
    </w:pPr>
  </w:style>
  <w:style w:type="paragraph" w:customStyle="1" w:styleId="Default">
    <w:name w:val="Default"/>
    <w:rsid w:val="005E2168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styleId="a6">
    <w:name w:val="Placeholder Text"/>
    <w:basedOn w:val="a0"/>
    <w:uiPriority w:val="99"/>
    <w:semiHidden/>
    <w:rsid w:val="005E2168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5E216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E2168"/>
    <w:rPr>
      <w:rFonts w:ascii="Calibri" w:eastAsia="宋体" w:hAnsi="Calibri" w:cs="Times New Roman"/>
      <w:sz w:val="18"/>
      <w:szCs w:val="18"/>
    </w:rPr>
  </w:style>
  <w:style w:type="character" w:customStyle="1" w:styleId="tran">
    <w:name w:val="tran"/>
    <w:basedOn w:val="a0"/>
    <w:rsid w:val="005E2168"/>
  </w:style>
  <w:style w:type="character" w:customStyle="1" w:styleId="apple-converted-space">
    <w:name w:val="apple-converted-space"/>
    <w:basedOn w:val="a0"/>
    <w:rsid w:val="005E2168"/>
  </w:style>
  <w:style w:type="paragraph" w:styleId="a8">
    <w:name w:val="Date"/>
    <w:basedOn w:val="a"/>
    <w:next w:val="a"/>
    <w:link w:val="Char2"/>
    <w:uiPriority w:val="99"/>
    <w:semiHidden/>
    <w:unhideWhenUsed/>
    <w:rsid w:val="005E2168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5E2168"/>
    <w:rPr>
      <w:rFonts w:ascii="Calibri" w:eastAsia="宋体" w:hAnsi="Calibri" w:cs="Times New Roman"/>
    </w:rPr>
  </w:style>
  <w:style w:type="character" w:styleId="a9">
    <w:name w:val="Hyperlink"/>
    <w:basedOn w:val="a0"/>
    <w:uiPriority w:val="99"/>
    <w:unhideWhenUsed/>
    <w:rsid w:val="005E21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2019-12-28T01:11:00Z</dcterms:created>
  <dcterms:modified xsi:type="dcterms:W3CDTF">2019-12-28T01:18:00Z</dcterms:modified>
</cp:coreProperties>
</file>