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FD332"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b/>
          <w:sz w:val="20"/>
          <w:szCs w:val="20"/>
        </w:rPr>
      </w:pPr>
      <w:r w:rsidRPr="00624759">
        <w:rPr>
          <w:rFonts w:asciiTheme="majorBidi" w:hAnsiTheme="majorBidi" w:cstheme="majorBidi" w:hint="eastAsia"/>
          <w:b/>
          <w:sz w:val="20"/>
          <w:szCs w:val="20"/>
        </w:rPr>
        <w:t xml:space="preserve">Development and Validation of CT-based Radiomics Scores for </w:t>
      </w:r>
      <w:r w:rsidRPr="00624759">
        <w:rPr>
          <w:rFonts w:asciiTheme="majorBidi" w:hAnsiTheme="majorBidi" w:cstheme="majorBidi"/>
          <w:b/>
          <w:sz w:val="20"/>
          <w:szCs w:val="20"/>
        </w:rPr>
        <w:t xml:space="preserve">Prediction </w:t>
      </w:r>
      <w:r w:rsidRPr="00624759">
        <w:rPr>
          <w:rFonts w:asciiTheme="majorBidi" w:hAnsiTheme="majorBidi" w:cstheme="majorBidi" w:hint="eastAsia"/>
          <w:b/>
          <w:sz w:val="20"/>
          <w:szCs w:val="20"/>
        </w:rPr>
        <w:t xml:space="preserve">of </w:t>
      </w:r>
      <w:r w:rsidRPr="00624759">
        <w:rPr>
          <w:rFonts w:asciiTheme="majorBidi" w:hAnsiTheme="majorBidi" w:cstheme="majorBidi"/>
          <w:b/>
          <w:sz w:val="20"/>
          <w:szCs w:val="20"/>
        </w:rPr>
        <w:t xml:space="preserve">Response to </w:t>
      </w:r>
      <w:r w:rsidRPr="00624759">
        <w:rPr>
          <w:rFonts w:asciiTheme="majorBidi" w:hAnsiTheme="majorBidi" w:cstheme="majorBidi" w:hint="eastAsia"/>
          <w:b/>
          <w:sz w:val="20"/>
          <w:szCs w:val="20"/>
        </w:rPr>
        <w:t>Neoadjuvant Chemotherapy and Survival in Gastric Cancer</w:t>
      </w:r>
    </w:p>
    <w:p w14:paraId="474BF73A" w14:textId="69ADC4DB"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proofErr w:type="spellStart"/>
      <w:r w:rsidRPr="00624759">
        <w:rPr>
          <w:rFonts w:asciiTheme="majorBidi" w:hAnsiTheme="majorBidi" w:cstheme="majorBidi"/>
          <w:sz w:val="20"/>
          <w:szCs w:val="20"/>
        </w:rPr>
        <w:t>Kaiyu</w:t>
      </w:r>
      <w:proofErr w:type="spellEnd"/>
      <w:r w:rsidRPr="00624759">
        <w:rPr>
          <w:rFonts w:asciiTheme="majorBidi" w:hAnsiTheme="majorBidi" w:cstheme="majorBidi"/>
          <w:sz w:val="20"/>
          <w:szCs w:val="20"/>
        </w:rPr>
        <w:t xml:space="preserve"> Sun</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Hangtong</w:t>
      </w:r>
      <w:proofErr w:type="spellEnd"/>
      <w:r w:rsidRPr="00624759">
        <w:rPr>
          <w:rFonts w:asciiTheme="majorBidi" w:hAnsiTheme="majorBidi" w:cstheme="majorBidi"/>
          <w:sz w:val="20"/>
          <w:szCs w:val="20"/>
        </w:rPr>
        <w:t xml:space="preserve"> Hu</w:t>
      </w:r>
      <w:r w:rsidRPr="00624759">
        <w:rPr>
          <w:rFonts w:asciiTheme="majorBidi" w:hAnsiTheme="majorBidi" w:cstheme="majorBidi"/>
          <w:sz w:val="20"/>
          <w:szCs w:val="20"/>
          <w:vertAlign w:val="superscript"/>
        </w:rPr>
        <w:t>2#</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Shuling</w:t>
      </w:r>
      <w:proofErr w:type="spellEnd"/>
      <w:r w:rsidRPr="00624759">
        <w:rPr>
          <w:rFonts w:asciiTheme="majorBidi" w:hAnsiTheme="majorBidi" w:cstheme="majorBidi"/>
          <w:sz w:val="20"/>
          <w:szCs w:val="20"/>
        </w:rPr>
        <w:t xml:space="preserve"> Chen</w:t>
      </w:r>
      <w:r w:rsidRPr="00624759">
        <w:rPr>
          <w:rFonts w:asciiTheme="majorBidi" w:hAnsiTheme="majorBidi" w:cstheme="majorBidi"/>
          <w:sz w:val="20"/>
          <w:szCs w:val="20"/>
          <w:vertAlign w:val="superscript"/>
        </w:rPr>
        <w:t>2</w:t>
      </w:r>
      <w:r w:rsidRPr="00624759">
        <w:rPr>
          <w:rFonts w:asciiTheme="majorBidi" w:hAnsiTheme="majorBidi" w:cstheme="majorBidi"/>
          <w:sz w:val="20"/>
          <w:szCs w:val="20"/>
        </w:rPr>
        <w:t xml:space="preserve">, </w:t>
      </w:r>
      <w:proofErr w:type="spellStart"/>
      <w:r w:rsidRPr="00624759">
        <w:rPr>
          <w:rFonts w:asciiTheme="majorBidi" w:hAnsiTheme="majorBidi" w:cstheme="majorBidi" w:hint="eastAsia"/>
          <w:sz w:val="20"/>
          <w:szCs w:val="20"/>
        </w:rPr>
        <w:t>J</w:t>
      </w:r>
      <w:r w:rsidRPr="00624759">
        <w:rPr>
          <w:rFonts w:asciiTheme="majorBidi" w:hAnsiTheme="majorBidi" w:cstheme="majorBidi"/>
          <w:sz w:val="20"/>
          <w:szCs w:val="20"/>
        </w:rPr>
        <w:t>inning</w:t>
      </w:r>
      <w:proofErr w:type="spellEnd"/>
      <w:r w:rsidRPr="00624759">
        <w:rPr>
          <w:rFonts w:asciiTheme="majorBidi" w:hAnsiTheme="majorBidi" w:cstheme="majorBidi"/>
          <w:sz w:val="20"/>
          <w:szCs w:val="20"/>
        </w:rPr>
        <w:t xml:space="preserve"> Ye</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Guanghua Li</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Lida</w:t>
      </w:r>
      <w:proofErr w:type="spellEnd"/>
      <w:r w:rsidRPr="00624759">
        <w:rPr>
          <w:rFonts w:asciiTheme="majorBidi" w:hAnsiTheme="majorBidi" w:cstheme="majorBidi"/>
          <w:sz w:val="20"/>
          <w:szCs w:val="20"/>
        </w:rPr>
        <w:t xml:space="preserve"> Chen</w:t>
      </w:r>
      <w:r w:rsidRPr="00624759">
        <w:rPr>
          <w:rFonts w:asciiTheme="majorBidi" w:hAnsiTheme="majorBidi" w:cstheme="majorBidi"/>
          <w:sz w:val="20"/>
          <w:szCs w:val="20"/>
          <w:vertAlign w:val="superscript"/>
        </w:rPr>
        <w:t>2</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Jianjun</w:t>
      </w:r>
      <w:proofErr w:type="spellEnd"/>
      <w:r w:rsidRPr="00624759">
        <w:rPr>
          <w:rFonts w:asciiTheme="majorBidi" w:hAnsiTheme="majorBidi" w:cstheme="majorBidi"/>
          <w:sz w:val="20"/>
          <w:szCs w:val="20"/>
        </w:rPr>
        <w:t xml:space="preserve"> Peng</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Shiting</w:t>
      </w:r>
      <w:proofErr w:type="spellEnd"/>
      <w:r w:rsidRPr="00624759">
        <w:rPr>
          <w:rFonts w:asciiTheme="majorBidi" w:hAnsiTheme="majorBidi" w:cstheme="majorBidi"/>
          <w:sz w:val="20"/>
          <w:szCs w:val="20"/>
        </w:rPr>
        <w:t xml:space="preserve"> Feng</w:t>
      </w:r>
      <w:r w:rsidRPr="00624759">
        <w:rPr>
          <w:rFonts w:asciiTheme="majorBidi" w:hAnsiTheme="majorBidi" w:cstheme="majorBidi"/>
          <w:sz w:val="20"/>
          <w:szCs w:val="20"/>
          <w:vertAlign w:val="superscript"/>
        </w:rPr>
        <w:t>3</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Yujie</w:t>
      </w:r>
      <w:proofErr w:type="spellEnd"/>
      <w:r w:rsidRPr="00624759">
        <w:rPr>
          <w:rFonts w:asciiTheme="majorBidi" w:hAnsiTheme="majorBidi" w:cstheme="majorBidi"/>
          <w:sz w:val="20"/>
          <w:szCs w:val="20"/>
        </w:rPr>
        <w:t xml:space="preserve"> Yuan</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Xun</w:t>
      </w:r>
      <w:proofErr w:type="spellEnd"/>
      <w:r w:rsidRPr="00624759">
        <w:rPr>
          <w:rFonts w:asciiTheme="majorBidi" w:hAnsiTheme="majorBidi" w:cstheme="majorBidi"/>
          <w:sz w:val="20"/>
          <w:szCs w:val="20"/>
        </w:rPr>
        <w:t xml:space="preserve"> Hou</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 Xin Li</w:t>
      </w:r>
      <w:r w:rsidRPr="00624759">
        <w:rPr>
          <w:rFonts w:asciiTheme="majorBidi" w:hAnsiTheme="majorBidi" w:cstheme="majorBidi"/>
          <w:sz w:val="20"/>
          <w:szCs w:val="20"/>
          <w:vertAlign w:val="superscript"/>
        </w:rPr>
        <w:t>4</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Tingfan</w:t>
      </w:r>
      <w:proofErr w:type="spellEnd"/>
      <w:r w:rsidRPr="00624759">
        <w:rPr>
          <w:rFonts w:asciiTheme="majorBidi" w:hAnsiTheme="majorBidi" w:cstheme="majorBidi"/>
          <w:sz w:val="20"/>
          <w:szCs w:val="20"/>
        </w:rPr>
        <w:t xml:space="preserve"> Wu</w:t>
      </w:r>
      <w:r w:rsidRPr="00624759">
        <w:rPr>
          <w:rFonts w:asciiTheme="majorBidi" w:hAnsiTheme="majorBidi" w:cstheme="majorBidi"/>
          <w:sz w:val="20"/>
          <w:szCs w:val="20"/>
          <w:vertAlign w:val="superscript"/>
        </w:rPr>
        <w:t>4</w:t>
      </w:r>
      <w:r w:rsidRPr="00624759">
        <w:rPr>
          <w:rFonts w:asciiTheme="majorBidi" w:hAnsiTheme="majorBidi" w:cstheme="majorBidi"/>
          <w:sz w:val="20"/>
          <w:szCs w:val="20"/>
        </w:rPr>
        <w:t>, Wei Wang</w:t>
      </w:r>
      <w:r w:rsidRPr="00624759">
        <w:rPr>
          <w:rFonts w:asciiTheme="majorBidi" w:hAnsiTheme="majorBidi" w:cstheme="majorBidi"/>
          <w:sz w:val="20"/>
          <w:szCs w:val="20"/>
          <w:vertAlign w:val="superscript"/>
        </w:rPr>
        <w:t>2</w:t>
      </w:r>
      <w:r w:rsidRPr="00624759">
        <w:rPr>
          <w:rFonts w:asciiTheme="majorBidi" w:hAnsiTheme="majorBidi" w:cstheme="majorBidi"/>
          <w:sz w:val="20"/>
          <w:szCs w:val="20"/>
        </w:rPr>
        <w:t xml:space="preserve">*, </w:t>
      </w:r>
      <w:proofErr w:type="spellStart"/>
      <w:r w:rsidRPr="00624759">
        <w:rPr>
          <w:rFonts w:asciiTheme="majorBidi" w:hAnsiTheme="majorBidi" w:cstheme="majorBidi"/>
          <w:sz w:val="20"/>
          <w:szCs w:val="20"/>
        </w:rPr>
        <w:t>Jianbo</w:t>
      </w:r>
      <w:proofErr w:type="spellEnd"/>
      <w:r w:rsidRPr="00624759">
        <w:rPr>
          <w:rFonts w:asciiTheme="majorBidi" w:hAnsiTheme="majorBidi" w:cstheme="majorBidi"/>
          <w:sz w:val="20"/>
          <w:szCs w:val="20"/>
        </w:rPr>
        <w:t xml:space="preserve"> Xu</w:t>
      </w:r>
      <w:r w:rsidRPr="00624759">
        <w:rPr>
          <w:rFonts w:asciiTheme="majorBidi" w:hAnsiTheme="majorBidi" w:cstheme="majorBidi"/>
          <w:sz w:val="20"/>
          <w:szCs w:val="20"/>
          <w:vertAlign w:val="superscript"/>
        </w:rPr>
        <w:t>1</w:t>
      </w:r>
      <w:r w:rsidRPr="00624759">
        <w:rPr>
          <w:rFonts w:asciiTheme="majorBidi" w:hAnsiTheme="majorBidi" w:cstheme="majorBidi"/>
          <w:sz w:val="20"/>
          <w:szCs w:val="20"/>
        </w:rPr>
        <w:t>*</w:t>
      </w:r>
    </w:p>
    <w:p w14:paraId="5BADFB3F"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p>
    <w:p w14:paraId="1FC19D73"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b/>
          <w:sz w:val="20"/>
          <w:szCs w:val="20"/>
        </w:rPr>
      </w:pPr>
      <w:r w:rsidRPr="00624759">
        <w:rPr>
          <w:rFonts w:asciiTheme="majorBidi" w:hAnsiTheme="majorBidi" w:cstheme="majorBidi" w:hint="eastAsia"/>
          <w:b/>
          <w:sz w:val="20"/>
          <w:szCs w:val="20"/>
        </w:rPr>
        <w:t>*</w:t>
      </w:r>
      <w:r w:rsidRPr="00624759">
        <w:rPr>
          <w:rFonts w:asciiTheme="majorBidi" w:hAnsiTheme="majorBidi" w:cstheme="majorBidi"/>
          <w:b/>
          <w:sz w:val="20"/>
          <w:szCs w:val="20"/>
        </w:rPr>
        <w:t>Corresponding authors</w:t>
      </w:r>
    </w:p>
    <w:p w14:paraId="61C20E48"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hint="eastAsia"/>
          <w:sz w:val="20"/>
          <w:szCs w:val="20"/>
        </w:rPr>
        <w:t>W</w:t>
      </w:r>
      <w:r w:rsidRPr="00624759">
        <w:rPr>
          <w:rFonts w:asciiTheme="majorBidi" w:hAnsiTheme="majorBidi" w:cstheme="majorBidi"/>
          <w:sz w:val="20"/>
          <w:szCs w:val="20"/>
        </w:rPr>
        <w:t>ei Wang, M.D., Ph.D.</w:t>
      </w:r>
    </w:p>
    <w:p w14:paraId="6CAAC143"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 xml:space="preserve">Department of Medical </w:t>
      </w:r>
      <w:proofErr w:type="spellStart"/>
      <w:r w:rsidRPr="00624759">
        <w:rPr>
          <w:rFonts w:asciiTheme="majorBidi" w:hAnsiTheme="majorBidi" w:cstheme="majorBidi"/>
          <w:sz w:val="20"/>
          <w:szCs w:val="20"/>
        </w:rPr>
        <w:t>Ultrasonics</w:t>
      </w:r>
      <w:proofErr w:type="spellEnd"/>
      <w:r w:rsidRPr="00624759">
        <w:rPr>
          <w:rFonts w:asciiTheme="majorBidi" w:hAnsiTheme="majorBidi" w:cstheme="majorBidi"/>
          <w:sz w:val="20"/>
          <w:szCs w:val="20"/>
        </w:rPr>
        <w:t xml:space="preserve">, Institute of Diagnostic and Interventional Ultrasound, The First Affiliated Hospital of Sun </w:t>
      </w:r>
      <w:proofErr w:type="spellStart"/>
      <w:r w:rsidRPr="00624759">
        <w:rPr>
          <w:rFonts w:asciiTheme="majorBidi" w:hAnsiTheme="majorBidi" w:cstheme="majorBidi"/>
          <w:sz w:val="20"/>
          <w:szCs w:val="20"/>
        </w:rPr>
        <w:t>Yat</w:t>
      </w:r>
      <w:proofErr w:type="spellEnd"/>
      <w:r w:rsidRPr="00624759">
        <w:rPr>
          <w:rFonts w:asciiTheme="majorBidi" w:hAnsiTheme="majorBidi" w:cstheme="majorBidi"/>
          <w:sz w:val="20"/>
          <w:szCs w:val="20"/>
        </w:rPr>
        <w:t>-Sen University, 58 Zhongshan Road 2, Guangzhou, 510080, People’s Republic of China;</w:t>
      </w:r>
    </w:p>
    <w:p w14:paraId="6DC510C3"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Phone and Fax: 86-20-87765183;</w:t>
      </w:r>
    </w:p>
    <w:p w14:paraId="3C20F88F"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 xml:space="preserve">E-mail: </w:t>
      </w:r>
      <w:hyperlink r:id="rId7" w:history="1">
        <w:r w:rsidRPr="00624759">
          <w:rPr>
            <w:rStyle w:val="a9"/>
            <w:rFonts w:asciiTheme="majorBidi" w:hAnsiTheme="majorBidi" w:cstheme="majorBidi"/>
            <w:sz w:val="20"/>
            <w:szCs w:val="20"/>
          </w:rPr>
          <w:t>wangw73@mail.sysu.edu.cn</w:t>
        </w:r>
      </w:hyperlink>
      <w:r w:rsidRPr="00624759">
        <w:rPr>
          <w:rFonts w:asciiTheme="majorBidi" w:hAnsiTheme="majorBidi" w:cstheme="majorBidi"/>
          <w:sz w:val="20"/>
          <w:szCs w:val="20"/>
        </w:rPr>
        <w:t>.</w:t>
      </w:r>
    </w:p>
    <w:p w14:paraId="57EC5932"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proofErr w:type="spellStart"/>
      <w:r w:rsidRPr="00624759">
        <w:rPr>
          <w:rFonts w:asciiTheme="majorBidi" w:hAnsiTheme="majorBidi" w:cstheme="majorBidi" w:hint="eastAsia"/>
          <w:sz w:val="20"/>
          <w:szCs w:val="20"/>
        </w:rPr>
        <w:t>J</w:t>
      </w:r>
      <w:r w:rsidRPr="00624759">
        <w:rPr>
          <w:rFonts w:asciiTheme="majorBidi" w:hAnsiTheme="majorBidi" w:cstheme="majorBidi"/>
          <w:sz w:val="20"/>
          <w:szCs w:val="20"/>
        </w:rPr>
        <w:t>ianbo</w:t>
      </w:r>
      <w:proofErr w:type="spellEnd"/>
      <w:r w:rsidRPr="00624759">
        <w:rPr>
          <w:rFonts w:asciiTheme="majorBidi" w:hAnsiTheme="majorBidi" w:cstheme="majorBidi"/>
          <w:sz w:val="20"/>
          <w:szCs w:val="20"/>
        </w:rPr>
        <w:t xml:space="preserve"> Xu, M.D., Ph.D.</w:t>
      </w:r>
    </w:p>
    <w:p w14:paraId="2126A570"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 xml:space="preserve">Department of Gastrointestinal Surgery, The First Affiliated Hospital of Sun </w:t>
      </w:r>
      <w:proofErr w:type="spellStart"/>
      <w:r w:rsidRPr="00624759">
        <w:rPr>
          <w:rFonts w:asciiTheme="majorBidi" w:hAnsiTheme="majorBidi" w:cstheme="majorBidi"/>
          <w:sz w:val="20"/>
          <w:szCs w:val="20"/>
        </w:rPr>
        <w:t>Yat</w:t>
      </w:r>
      <w:proofErr w:type="spellEnd"/>
      <w:r w:rsidRPr="00624759">
        <w:rPr>
          <w:rFonts w:asciiTheme="majorBidi" w:hAnsiTheme="majorBidi" w:cstheme="majorBidi"/>
          <w:sz w:val="20"/>
          <w:szCs w:val="20"/>
        </w:rPr>
        <w:t>-Sen University, 58 Zhongshan Road 2, Guangzhou, 510080, People’s Republic of China;</w:t>
      </w:r>
    </w:p>
    <w:p w14:paraId="62A57E18"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Phone and Fax: 86-20-87765183;</w:t>
      </w:r>
    </w:p>
    <w:p w14:paraId="01E358B5" w14:textId="77777777" w:rsidR="00624759" w:rsidRPr="00624759" w:rsidRDefault="00624759" w:rsidP="00624759">
      <w:pPr>
        <w:kinsoku w:val="0"/>
        <w:overflowPunct w:val="0"/>
        <w:autoSpaceDE w:val="0"/>
        <w:autoSpaceDN w:val="0"/>
        <w:adjustRightInd w:val="0"/>
        <w:snapToGrid w:val="0"/>
        <w:spacing w:line="480" w:lineRule="auto"/>
        <w:rPr>
          <w:rFonts w:asciiTheme="majorBidi" w:hAnsiTheme="majorBidi" w:cstheme="majorBidi"/>
          <w:sz w:val="20"/>
          <w:szCs w:val="20"/>
        </w:rPr>
      </w:pPr>
      <w:r w:rsidRPr="00624759">
        <w:rPr>
          <w:rFonts w:asciiTheme="majorBidi" w:hAnsiTheme="majorBidi" w:cstheme="majorBidi"/>
          <w:sz w:val="20"/>
          <w:szCs w:val="20"/>
        </w:rPr>
        <w:t xml:space="preserve">E-mail: </w:t>
      </w:r>
      <w:hyperlink r:id="rId8" w:history="1">
        <w:r w:rsidRPr="00624759">
          <w:rPr>
            <w:rStyle w:val="a9"/>
            <w:rFonts w:asciiTheme="majorBidi" w:hAnsiTheme="majorBidi" w:cstheme="majorBidi"/>
            <w:sz w:val="20"/>
            <w:szCs w:val="20"/>
          </w:rPr>
          <w:t>xjianb@mail.sysu.edu.cn</w:t>
        </w:r>
      </w:hyperlink>
      <w:r w:rsidRPr="00624759">
        <w:rPr>
          <w:rStyle w:val="a9"/>
          <w:rFonts w:asciiTheme="majorBidi" w:hAnsiTheme="majorBidi" w:cstheme="majorBidi" w:hint="eastAsia"/>
          <w:sz w:val="20"/>
          <w:szCs w:val="20"/>
        </w:rPr>
        <w:t>.</w:t>
      </w:r>
      <w:r w:rsidRPr="00624759">
        <w:rPr>
          <w:rFonts w:asciiTheme="majorBidi" w:hAnsiTheme="majorBidi" w:cstheme="majorBidi"/>
          <w:sz w:val="20"/>
          <w:szCs w:val="20"/>
        </w:rPr>
        <w:t xml:space="preserve"> </w:t>
      </w:r>
    </w:p>
    <w:p w14:paraId="4E89FF80" w14:textId="77777777" w:rsidR="00624759" w:rsidRPr="00624759" w:rsidRDefault="00624759" w:rsidP="00624759">
      <w:pPr>
        <w:adjustRightInd w:val="0"/>
        <w:snapToGrid w:val="0"/>
        <w:spacing w:line="480" w:lineRule="auto"/>
        <w:rPr>
          <w:rFonts w:ascii="Times New Roman" w:hAnsi="Times New Roman" w:cs="Times New Roman"/>
          <w:b/>
          <w:color w:val="000000" w:themeColor="text1"/>
          <w:sz w:val="20"/>
          <w:szCs w:val="20"/>
        </w:rPr>
      </w:pPr>
    </w:p>
    <w:p w14:paraId="097604D9" w14:textId="17590E65" w:rsidR="004D39EE" w:rsidRDefault="004D39EE" w:rsidP="00624759">
      <w:pPr>
        <w:adjustRightInd w:val="0"/>
        <w:snapToGrid w:val="0"/>
        <w:spacing w:line="480" w:lineRule="auto"/>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S</w:t>
      </w:r>
      <w:r>
        <w:rPr>
          <w:rFonts w:ascii="Times New Roman" w:hAnsi="Times New Roman" w:cs="Times New Roman"/>
          <w:b/>
          <w:color w:val="000000" w:themeColor="text1"/>
          <w:sz w:val="20"/>
          <w:szCs w:val="20"/>
        </w:rPr>
        <w:t>upplemental Materials</w:t>
      </w:r>
    </w:p>
    <w:p w14:paraId="1010F24A" w14:textId="3161B126" w:rsidR="004D39EE" w:rsidRDefault="004D39EE" w:rsidP="00624759">
      <w:pPr>
        <w:adjustRightInd w:val="0"/>
        <w:snapToGrid w:val="0"/>
        <w:spacing w:line="480" w:lineRule="auto"/>
        <w:rPr>
          <w:rFonts w:ascii="Times New Roman" w:hAnsi="Times New Roman" w:cs="Times New Roman"/>
          <w:b/>
          <w:i/>
          <w:color w:val="000000" w:themeColor="text1"/>
          <w:sz w:val="20"/>
          <w:szCs w:val="20"/>
        </w:rPr>
      </w:pPr>
      <w:r w:rsidRPr="004D39EE">
        <w:rPr>
          <w:rFonts w:ascii="Times New Roman" w:hAnsi="Times New Roman" w:cs="Times New Roman"/>
          <w:b/>
          <w:i/>
          <w:color w:val="000000" w:themeColor="text1"/>
          <w:sz w:val="20"/>
          <w:szCs w:val="20"/>
        </w:rPr>
        <w:t>Extremely Randomized Tree (Extra-Trees) method</w:t>
      </w:r>
    </w:p>
    <w:p w14:paraId="0BD5C371" w14:textId="7C7C3FE2" w:rsidR="004D39EE" w:rsidRPr="004D39EE" w:rsidRDefault="00624759" w:rsidP="00624759">
      <w:pPr>
        <w:adjustRightInd w:val="0"/>
        <w:snapToGrid w:val="0"/>
        <w:spacing w:line="480" w:lineRule="auto"/>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U</w:t>
      </w:r>
      <w:r>
        <w:rPr>
          <w:rFonts w:ascii="Times New Roman" w:hAnsi="Times New Roman" w:cs="Times New Roman"/>
          <w:color w:val="000000" w:themeColor="text1"/>
          <w:sz w:val="20"/>
          <w:szCs w:val="20"/>
        </w:rPr>
        <w:t xml:space="preserve">nlike other tree-based ensemble methods, Extra-Trees algorithm uses the whole training sample rather than a bootstrap replica subset of features and splits nodes by choosing cut-points at random as well. The main parameters including the minimum number of samples for splitting a node, the number of trees of an ensemble, and the number of features per node for the Extra-Trees splitting procedure were set and adjusted by 5-fold cross-validation to create a predictive model of treatment response of neoadjuvant chemotherapy with the best performance in the training dataset. To create an optimal model, we coded a comprehensive computer program to train and evaluate hundreds of models, conducted extensive grid search in the hyper-parameter space </w:t>
      </w:r>
      <w:r w:rsidR="002634A7">
        <w:rPr>
          <w:rFonts w:ascii="Times New Roman" w:hAnsi="Times New Roman" w:cs="Times New Roman"/>
          <w:color w:val="000000" w:themeColor="text1"/>
          <w:sz w:val="20"/>
          <w:szCs w:val="20"/>
        </w:rPr>
        <w:t xml:space="preserve">through multiple combinations of parameter tunes, and tested different feature sets to enhance its accuracy and model performance. </w:t>
      </w:r>
    </w:p>
    <w:p w14:paraId="2B5F2051" w14:textId="7B678715" w:rsidR="004D39EE" w:rsidRDefault="004D39EE" w:rsidP="00C02DF2">
      <w:pPr>
        <w:rPr>
          <w:rFonts w:ascii="Times New Roman" w:hAnsi="Times New Roman" w:cs="Times New Roman"/>
          <w:b/>
          <w:color w:val="000000" w:themeColor="text1"/>
          <w:sz w:val="20"/>
          <w:szCs w:val="20"/>
        </w:rPr>
      </w:pPr>
    </w:p>
    <w:p w14:paraId="3537464E" w14:textId="77777777" w:rsidR="00624759" w:rsidRDefault="00624759" w:rsidP="00C02DF2">
      <w:pPr>
        <w:rPr>
          <w:rFonts w:ascii="Times New Roman" w:hAnsi="Times New Roman" w:cs="Times New Roman" w:hint="eastAsia"/>
          <w:b/>
          <w:color w:val="000000" w:themeColor="text1"/>
          <w:sz w:val="20"/>
          <w:szCs w:val="20"/>
        </w:rPr>
      </w:pPr>
    </w:p>
    <w:p w14:paraId="08B1EAB1" w14:textId="132A65DE" w:rsidR="00C02DF2" w:rsidRPr="007355BC" w:rsidRDefault="00C02DF2" w:rsidP="00C02DF2">
      <w:pPr>
        <w:rPr>
          <w:rFonts w:ascii="Times New Roman" w:hAnsi="Times New Roman" w:cs="Times New Roman"/>
          <w:sz w:val="20"/>
          <w:szCs w:val="20"/>
        </w:rPr>
      </w:pPr>
      <w:r w:rsidRPr="007355BC">
        <w:rPr>
          <w:rFonts w:ascii="Times New Roman" w:hAnsi="Times New Roman" w:cs="Times New Roman"/>
          <w:b/>
          <w:color w:val="000000" w:themeColor="text1"/>
          <w:sz w:val="20"/>
          <w:szCs w:val="20"/>
        </w:rPr>
        <w:lastRenderedPageBreak/>
        <w:t>Su</w:t>
      </w:r>
      <w:r w:rsidRPr="007355BC">
        <w:rPr>
          <w:rFonts w:ascii="Times New Roman" w:hAnsi="Times New Roman" w:cs="Times New Roman" w:hint="eastAsia"/>
          <w:b/>
          <w:color w:val="000000" w:themeColor="text1"/>
          <w:sz w:val="20"/>
          <w:szCs w:val="20"/>
        </w:rPr>
        <w:t>pplementary</w:t>
      </w:r>
      <w:r w:rsidRPr="007355BC">
        <w:rPr>
          <w:rFonts w:ascii="Times New Roman" w:hAnsi="Times New Roman" w:cs="Times New Roman" w:hint="eastAsia"/>
          <w:b/>
          <w:bCs/>
          <w:kern w:val="0"/>
          <w:sz w:val="20"/>
          <w:szCs w:val="20"/>
        </w:rPr>
        <w:t xml:space="preserve"> </w:t>
      </w:r>
      <w:r w:rsidRPr="007355BC">
        <w:rPr>
          <w:rFonts w:ascii="Times New Roman" w:hAnsi="Times New Roman" w:cs="Times New Roman"/>
          <w:b/>
          <w:bCs/>
          <w:kern w:val="0"/>
          <w:sz w:val="20"/>
          <w:szCs w:val="20"/>
        </w:rPr>
        <w:t xml:space="preserve">Table </w:t>
      </w:r>
      <w:r>
        <w:rPr>
          <w:rFonts w:ascii="Times New Roman" w:hAnsi="Times New Roman" w:cs="Times New Roman"/>
          <w:b/>
          <w:bCs/>
          <w:kern w:val="0"/>
          <w:sz w:val="20"/>
          <w:szCs w:val="20"/>
        </w:rPr>
        <w:t>1</w:t>
      </w:r>
      <w:r w:rsidRPr="007355BC">
        <w:rPr>
          <w:rFonts w:ascii="Times New Roman" w:hAnsi="Times New Roman" w:cs="Times New Roman"/>
          <w:b/>
          <w:bCs/>
          <w:kern w:val="0"/>
          <w:sz w:val="20"/>
          <w:szCs w:val="20"/>
        </w:rPr>
        <w:t>. A Summary of 1044 Radiomics Features</w:t>
      </w:r>
    </w:p>
    <w:tbl>
      <w:tblPr>
        <w:tblStyle w:val="a7"/>
        <w:tblW w:w="611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453"/>
        <w:gridCol w:w="835"/>
      </w:tblGrid>
      <w:tr w:rsidR="00C02DF2" w:rsidRPr="00C02DF2" w14:paraId="36537BA6" w14:textId="77777777" w:rsidTr="00193C77">
        <w:trPr>
          <w:jc w:val="center"/>
        </w:trPr>
        <w:tc>
          <w:tcPr>
            <w:tcW w:w="2397" w:type="pct"/>
            <w:tcBorders>
              <w:top w:val="single" w:sz="4" w:space="0" w:color="auto"/>
              <w:bottom w:val="single" w:sz="4" w:space="0" w:color="auto"/>
            </w:tcBorders>
          </w:tcPr>
          <w:p w14:paraId="2C853ABB" w14:textId="77777777" w:rsidR="00C02DF2" w:rsidRPr="00C02DF2" w:rsidRDefault="00C02DF2" w:rsidP="00193C77">
            <w:pPr>
              <w:adjustRightInd w:val="0"/>
              <w:snapToGrid w:val="0"/>
              <w:rPr>
                <w:rFonts w:ascii="Times New Roman" w:hAnsi="Times New Roman" w:cs="Times New Roman"/>
                <w:b/>
                <w:sz w:val="20"/>
                <w:szCs w:val="20"/>
              </w:rPr>
            </w:pPr>
            <w:r w:rsidRPr="00C02DF2">
              <w:rPr>
                <w:rFonts w:ascii="Times New Roman" w:hAnsi="Times New Roman" w:cs="Times New Roman"/>
                <w:b/>
                <w:sz w:val="20"/>
                <w:szCs w:val="20"/>
              </w:rPr>
              <w:t>Features classes</w:t>
            </w:r>
          </w:p>
        </w:tc>
        <w:tc>
          <w:tcPr>
            <w:tcW w:w="2192" w:type="pct"/>
            <w:tcBorders>
              <w:top w:val="single" w:sz="4" w:space="0" w:color="auto"/>
              <w:bottom w:val="single" w:sz="4" w:space="0" w:color="auto"/>
            </w:tcBorders>
          </w:tcPr>
          <w:p w14:paraId="0E2AD4C7" w14:textId="77777777" w:rsidR="00C02DF2" w:rsidRPr="00C02DF2" w:rsidRDefault="00C02DF2" w:rsidP="00193C77">
            <w:pPr>
              <w:adjustRightInd w:val="0"/>
              <w:snapToGrid w:val="0"/>
              <w:jc w:val="center"/>
              <w:rPr>
                <w:rFonts w:ascii="Times New Roman" w:hAnsi="Times New Roman" w:cs="Times New Roman"/>
                <w:b/>
                <w:sz w:val="20"/>
                <w:szCs w:val="20"/>
              </w:rPr>
            </w:pPr>
            <w:r w:rsidRPr="00C02DF2">
              <w:rPr>
                <w:rFonts w:ascii="Times New Roman" w:hAnsi="Times New Roman" w:cs="Times New Roman"/>
                <w:b/>
                <w:sz w:val="20"/>
                <w:szCs w:val="20"/>
              </w:rPr>
              <w:t>Statistics</w:t>
            </w:r>
          </w:p>
        </w:tc>
        <w:tc>
          <w:tcPr>
            <w:tcW w:w="411" w:type="pct"/>
            <w:tcBorders>
              <w:top w:val="single" w:sz="4" w:space="0" w:color="auto"/>
              <w:bottom w:val="single" w:sz="4" w:space="0" w:color="auto"/>
            </w:tcBorders>
          </w:tcPr>
          <w:p w14:paraId="1C319CA7" w14:textId="77777777" w:rsidR="00C02DF2" w:rsidRPr="00C02DF2" w:rsidRDefault="00C02DF2" w:rsidP="00193C77">
            <w:pPr>
              <w:adjustRightInd w:val="0"/>
              <w:snapToGrid w:val="0"/>
              <w:jc w:val="center"/>
              <w:rPr>
                <w:rFonts w:ascii="Times New Roman" w:hAnsi="Times New Roman" w:cs="Times New Roman"/>
                <w:b/>
                <w:sz w:val="20"/>
                <w:szCs w:val="20"/>
              </w:rPr>
            </w:pPr>
            <w:r w:rsidRPr="00C02DF2">
              <w:rPr>
                <w:rFonts w:ascii="Times New Roman" w:hAnsi="Times New Roman" w:cs="Times New Roman"/>
                <w:b/>
                <w:sz w:val="20"/>
                <w:szCs w:val="20"/>
              </w:rPr>
              <w:t>Count</w:t>
            </w:r>
          </w:p>
        </w:tc>
      </w:tr>
      <w:tr w:rsidR="00C02DF2" w:rsidRPr="00C02DF2" w14:paraId="45F508CE" w14:textId="77777777" w:rsidTr="00193C77">
        <w:trPr>
          <w:jc w:val="center"/>
        </w:trPr>
        <w:tc>
          <w:tcPr>
            <w:tcW w:w="2397" w:type="pct"/>
            <w:tcBorders>
              <w:top w:val="single" w:sz="4" w:space="0" w:color="auto"/>
            </w:tcBorders>
          </w:tcPr>
          <w:p w14:paraId="3BBB65FF" w14:textId="77777777" w:rsidR="00C02DF2" w:rsidRPr="00C02DF2" w:rsidRDefault="00C02DF2" w:rsidP="00193C77">
            <w:pPr>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Histogram Parameters </w:t>
            </w:r>
            <w:r w:rsidRPr="00C02DF2">
              <w:rPr>
                <w:rFonts w:ascii="Times New Roman" w:hAnsi="Times New Roman" w:cs="Times New Roman"/>
                <w:b/>
                <w:sz w:val="20"/>
                <w:szCs w:val="20"/>
                <w:vertAlign w:val="superscript"/>
              </w:rPr>
              <w:t>1</w:t>
            </w:r>
          </w:p>
        </w:tc>
        <w:tc>
          <w:tcPr>
            <w:tcW w:w="2192" w:type="pct"/>
            <w:tcBorders>
              <w:top w:val="single" w:sz="4" w:space="0" w:color="auto"/>
            </w:tcBorders>
          </w:tcPr>
          <w:p w14:paraId="1F44C78C" w14:textId="57DDD16C"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Mean, variance, median, min, max, percentile, quantile, expectation, skewness, kurtosis, energy, entropy, uniformity</w:t>
            </w:r>
          </w:p>
        </w:tc>
        <w:tc>
          <w:tcPr>
            <w:tcW w:w="411" w:type="pct"/>
            <w:tcBorders>
              <w:top w:val="single" w:sz="4" w:space="0" w:color="auto"/>
            </w:tcBorders>
          </w:tcPr>
          <w:p w14:paraId="2CA80C85"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42</w:t>
            </w:r>
          </w:p>
        </w:tc>
      </w:tr>
      <w:tr w:rsidR="00C02DF2" w:rsidRPr="00C02DF2" w14:paraId="44AFD9AC" w14:textId="77777777" w:rsidTr="00193C77">
        <w:trPr>
          <w:jc w:val="center"/>
        </w:trPr>
        <w:tc>
          <w:tcPr>
            <w:tcW w:w="2397" w:type="pct"/>
          </w:tcPr>
          <w:p w14:paraId="645FB368" w14:textId="77777777" w:rsidR="00C02DF2" w:rsidRPr="00C02DF2" w:rsidRDefault="00C02DF2" w:rsidP="00193C77">
            <w:pPr>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Texture Parameters </w:t>
            </w:r>
            <w:r w:rsidRPr="00C02DF2">
              <w:rPr>
                <w:rFonts w:ascii="Times New Roman" w:hAnsi="Times New Roman" w:cs="Times New Roman"/>
                <w:b/>
                <w:sz w:val="20"/>
                <w:szCs w:val="20"/>
                <w:vertAlign w:val="superscript"/>
              </w:rPr>
              <w:t>2</w:t>
            </w:r>
          </w:p>
        </w:tc>
        <w:tc>
          <w:tcPr>
            <w:tcW w:w="2192" w:type="pct"/>
          </w:tcPr>
          <w:p w14:paraId="46727E30" w14:textId="77777777"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Probability, energy, entropy, mean, expectation, variance</w:t>
            </w:r>
          </w:p>
        </w:tc>
        <w:tc>
          <w:tcPr>
            <w:tcW w:w="411" w:type="pct"/>
          </w:tcPr>
          <w:p w14:paraId="315FD65F"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10</w:t>
            </w:r>
          </w:p>
        </w:tc>
      </w:tr>
      <w:tr w:rsidR="00C02DF2" w:rsidRPr="00C02DF2" w14:paraId="712C9D5F" w14:textId="77777777" w:rsidTr="00193C77">
        <w:trPr>
          <w:jc w:val="center"/>
        </w:trPr>
        <w:tc>
          <w:tcPr>
            <w:tcW w:w="2397" w:type="pct"/>
          </w:tcPr>
          <w:p w14:paraId="293E6930" w14:textId="77777777" w:rsidR="00C02DF2" w:rsidRPr="00C02DF2" w:rsidRDefault="00C02DF2" w:rsidP="00193C77">
            <w:pPr>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Form Factor Parameters </w:t>
            </w:r>
            <w:r w:rsidRPr="00C02DF2">
              <w:rPr>
                <w:rFonts w:ascii="Times New Roman" w:hAnsi="Times New Roman" w:cs="Times New Roman"/>
                <w:b/>
                <w:sz w:val="20"/>
                <w:szCs w:val="20"/>
                <w:vertAlign w:val="superscript"/>
              </w:rPr>
              <w:t>3</w:t>
            </w:r>
          </w:p>
        </w:tc>
        <w:tc>
          <w:tcPr>
            <w:tcW w:w="2192" w:type="pct"/>
          </w:tcPr>
          <w:p w14:paraId="5A5617C6" w14:textId="77777777"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Sphericity, surface area, volume</w:t>
            </w:r>
          </w:p>
        </w:tc>
        <w:tc>
          <w:tcPr>
            <w:tcW w:w="411" w:type="pct"/>
          </w:tcPr>
          <w:p w14:paraId="33DAEFC1"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9</w:t>
            </w:r>
          </w:p>
        </w:tc>
      </w:tr>
      <w:tr w:rsidR="00C02DF2" w:rsidRPr="00C02DF2" w14:paraId="651F668F" w14:textId="77777777" w:rsidTr="00193C77">
        <w:trPr>
          <w:jc w:val="center"/>
        </w:trPr>
        <w:tc>
          <w:tcPr>
            <w:tcW w:w="2397" w:type="pct"/>
          </w:tcPr>
          <w:p w14:paraId="579E32AE" w14:textId="77777777" w:rsidR="00C02DF2" w:rsidRPr="00C02DF2" w:rsidRDefault="00C02DF2" w:rsidP="00193C77">
            <w:pPr>
              <w:tabs>
                <w:tab w:val="left" w:pos="796"/>
              </w:tabs>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Grey level co-occurrence matrix (GLCM) </w:t>
            </w:r>
            <w:r w:rsidRPr="00C02DF2">
              <w:rPr>
                <w:rFonts w:ascii="Times New Roman" w:hAnsi="Times New Roman" w:cs="Times New Roman"/>
                <w:b/>
                <w:sz w:val="20"/>
                <w:szCs w:val="20"/>
                <w:vertAlign w:val="superscript"/>
              </w:rPr>
              <w:t>4</w:t>
            </w:r>
          </w:p>
        </w:tc>
        <w:tc>
          <w:tcPr>
            <w:tcW w:w="2192" w:type="pct"/>
          </w:tcPr>
          <w:p w14:paraId="6B0B3013" w14:textId="77777777"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Probability, energy, entropy, mean, expectation, Variance</w:t>
            </w:r>
          </w:p>
        </w:tc>
        <w:tc>
          <w:tcPr>
            <w:tcW w:w="411" w:type="pct"/>
          </w:tcPr>
          <w:p w14:paraId="27403434"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432</w:t>
            </w:r>
          </w:p>
        </w:tc>
      </w:tr>
      <w:tr w:rsidR="00C02DF2" w:rsidRPr="00C02DF2" w14:paraId="0D769792" w14:textId="77777777" w:rsidTr="00193C77">
        <w:trPr>
          <w:jc w:val="center"/>
        </w:trPr>
        <w:tc>
          <w:tcPr>
            <w:tcW w:w="2397" w:type="pct"/>
          </w:tcPr>
          <w:p w14:paraId="00AE7A95" w14:textId="77777777" w:rsidR="00C02DF2" w:rsidRPr="00C02DF2" w:rsidRDefault="00C02DF2" w:rsidP="00193C77">
            <w:pPr>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Grey level run-length matrix (GLRLM) </w:t>
            </w:r>
            <w:r w:rsidRPr="00C02DF2">
              <w:rPr>
                <w:rFonts w:ascii="Times New Roman" w:hAnsi="Times New Roman" w:cs="Times New Roman"/>
                <w:b/>
                <w:sz w:val="20"/>
                <w:szCs w:val="20"/>
                <w:vertAlign w:val="superscript"/>
              </w:rPr>
              <w:t>5</w:t>
            </w:r>
          </w:p>
        </w:tc>
        <w:tc>
          <w:tcPr>
            <w:tcW w:w="2192" w:type="pct"/>
          </w:tcPr>
          <w:p w14:paraId="40A1588E" w14:textId="77777777"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Probability, energy, entropy, mean, expectation, Variance</w:t>
            </w:r>
          </w:p>
        </w:tc>
        <w:tc>
          <w:tcPr>
            <w:tcW w:w="411" w:type="pct"/>
          </w:tcPr>
          <w:p w14:paraId="08CF22CC"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540</w:t>
            </w:r>
          </w:p>
        </w:tc>
      </w:tr>
      <w:tr w:rsidR="00C02DF2" w:rsidRPr="00C02DF2" w14:paraId="60E7EDAD" w14:textId="77777777" w:rsidTr="00193C77">
        <w:trPr>
          <w:jc w:val="center"/>
        </w:trPr>
        <w:tc>
          <w:tcPr>
            <w:tcW w:w="2397" w:type="pct"/>
            <w:tcBorders>
              <w:bottom w:val="single" w:sz="4" w:space="0" w:color="auto"/>
            </w:tcBorders>
          </w:tcPr>
          <w:p w14:paraId="19A17D01" w14:textId="77777777" w:rsidR="00C02DF2" w:rsidRPr="00C02DF2" w:rsidRDefault="00C02DF2" w:rsidP="00193C77">
            <w:pPr>
              <w:adjustRightInd w:val="0"/>
              <w:snapToGrid w:val="0"/>
              <w:jc w:val="left"/>
              <w:rPr>
                <w:rFonts w:ascii="Times New Roman" w:hAnsi="Times New Roman" w:cs="Times New Roman"/>
                <w:b/>
                <w:sz w:val="20"/>
                <w:szCs w:val="20"/>
              </w:rPr>
            </w:pPr>
            <w:r w:rsidRPr="00C02DF2">
              <w:rPr>
                <w:rFonts w:ascii="Times New Roman" w:hAnsi="Times New Roman" w:cs="Times New Roman"/>
                <w:b/>
                <w:sz w:val="20"/>
                <w:szCs w:val="20"/>
              </w:rPr>
              <w:t xml:space="preserve">Gray level Size Zone Matrix (GLSZM) </w:t>
            </w:r>
            <w:r w:rsidRPr="00C02DF2">
              <w:rPr>
                <w:rFonts w:ascii="Times New Roman" w:hAnsi="Times New Roman" w:cs="Times New Roman"/>
                <w:b/>
                <w:sz w:val="20"/>
                <w:szCs w:val="20"/>
                <w:vertAlign w:val="superscript"/>
              </w:rPr>
              <w:t>6</w:t>
            </w:r>
          </w:p>
        </w:tc>
        <w:tc>
          <w:tcPr>
            <w:tcW w:w="2192" w:type="pct"/>
            <w:tcBorders>
              <w:bottom w:val="single" w:sz="4" w:space="0" w:color="auto"/>
            </w:tcBorders>
          </w:tcPr>
          <w:p w14:paraId="63455558" w14:textId="77777777" w:rsidR="00C02DF2" w:rsidRPr="00C02DF2" w:rsidRDefault="00C02DF2" w:rsidP="00193C77">
            <w:pPr>
              <w:adjustRightInd w:val="0"/>
              <w:snapToGrid w:val="0"/>
              <w:jc w:val="left"/>
              <w:rPr>
                <w:rFonts w:ascii="Times New Roman" w:hAnsi="Times New Roman" w:cs="Times New Roman"/>
                <w:sz w:val="20"/>
                <w:szCs w:val="20"/>
              </w:rPr>
            </w:pPr>
            <w:r w:rsidRPr="00C02DF2">
              <w:rPr>
                <w:rFonts w:ascii="Times New Roman" w:hAnsi="Times New Roman" w:cs="Times New Roman"/>
                <w:sz w:val="20"/>
                <w:szCs w:val="20"/>
              </w:rPr>
              <w:t>Probability, energy, entropy, mean, expectation, Variance</w:t>
            </w:r>
          </w:p>
        </w:tc>
        <w:tc>
          <w:tcPr>
            <w:tcW w:w="411" w:type="pct"/>
            <w:tcBorders>
              <w:bottom w:val="single" w:sz="4" w:space="0" w:color="auto"/>
            </w:tcBorders>
          </w:tcPr>
          <w:p w14:paraId="75E803D5"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11</w:t>
            </w:r>
          </w:p>
        </w:tc>
      </w:tr>
      <w:tr w:rsidR="00C02DF2" w:rsidRPr="00C02DF2" w14:paraId="729DA564" w14:textId="77777777" w:rsidTr="00193C77">
        <w:trPr>
          <w:jc w:val="center"/>
        </w:trPr>
        <w:tc>
          <w:tcPr>
            <w:tcW w:w="2397" w:type="pct"/>
            <w:tcBorders>
              <w:top w:val="single" w:sz="4" w:space="0" w:color="auto"/>
              <w:bottom w:val="single" w:sz="4" w:space="0" w:color="auto"/>
            </w:tcBorders>
          </w:tcPr>
          <w:p w14:paraId="3C95E3E2" w14:textId="77777777" w:rsidR="00C02DF2" w:rsidRPr="00C02DF2" w:rsidRDefault="00C02DF2" w:rsidP="00193C77">
            <w:pPr>
              <w:adjustRightInd w:val="0"/>
              <w:snapToGrid w:val="0"/>
              <w:rPr>
                <w:rFonts w:ascii="Times New Roman" w:hAnsi="Times New Roman" w:cs="Times New Roman"/>
                <w:b/>
                <w:sz w:val="20"/>
                <w:szCs w:val="20"/>
              </w:rPr>
            </w:pPr>
            <w:r w:rsidRPr="00C02DF2">
              <w:rPr>
                <w:rFonts w:ascii="Times New Roman" w:hAnsi="Times New Roman" w:cs="Times New Roman"/>
                <w:b/>
                <w:sz w:val="20"/>
                <w:szCs w:val="20"/>
              </w:rPr>
              <w:t>Total</w:t>
            </w:r>
          </w:p>
        </w:tc>
        <w:tc>
          <w:tcPr>
            <w:tcW w:w="2192" w:type="pct"/>
            <w:tcBorders>
              <w:top w:val="single" w:sz="4" w:space="0" w:color="auto"/>
              <w:bottom w:val="single" w:sz="4" w:space="0" w:color="auto"/>
            </w:tcBorders>
          </w:tcPr>
          <w:p w14:paraId="5D542D5E" w14:textId="77777777" w:rsidR="00C02DF2" w:rsidRPr="00C02DF2" w:rsidRDefault="00C02DF2" w:rsidP="00193C77">
            <w:pPr>
              <w:adjustRightInd w:val="0"/>
              <w:snapToGrid w:val="0"/>
              <w:jc w:val="center"/>
              <w:rPr>
                <w:rFonts w:ascii="Times New Roman" w:hAnsi="Times New Roman" w:cs="Times New Roman"/>
                <w:sz w:val="20"/>
                <w:szCs w:val="20"/>
              </w:rPr>
            </w:pPr>
          </w:p>
        </w:tc>
        <w:tc>
          <w:tcPr>
            <w:tcW w:w="411" w:type="pct"/>
            <w:tcBorders>
              <w:top w:val="single" w:sz="4" w:space="0" w:color="auto"/>
              <w:bottom w:val="single" w:sz="4" w:space="0" w:color="auto"/>
            </w:tcBorders>
          </w:tcPr>
          <w:p w14:paraId="015D47F1" w14:textId="77777777" w:rsidR="00C02DF2" w:rsidRPr="00C02DF2" w:rsidRDefault="00C02DF2" w:rsidP="00193C77">
            <w:pPr>
              <w:adjustRightInd w:val="0"/>
              <w:snapToGrid w:val="0"/>
              <w:jc w:val="right"/>
              <w:rPr>
                <w:rFonts w:ascii="Times New Roman" w:hAnsi="Times New Roman" w:cs="Times New Roman"/>
                <w:sz w:val="20"/>
                <w:szCs w:val="20"/>
              </w:rPr>
            </w:pPr>
            <w:r w:rsidRPr="00C02DF2">
              <w:rPr>
                <w:rFonts w:ascii="Times New Roman" w:hAnsi="Times New Roman" w:cs="Times New Roman"/>
                <w:sz w:val="20"/>
                <w:szCs w:val="20"/>
              </w:rPr>
              <w:t>1044</w:t>
            </w:r>
          </w:p>
        </w:tc>
      </w:tr>
    </w:tbl>
    <w:p w14:paraId="24DEDA0D" w14:textId="77777777" w:rsidR="00C02DF2" w:rsidRPr="007355BC"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Histogram parameters are concerned with properties of individual pixels. They describe the distribution of voxel intensities within the CT image through commonly used and basic metrics.</w:t>
      </w:r>
    </w:p>
    <w:p w14:paraId="145FF952" w14:textId="77777777" w:rsidR="00C02DF2" w:rsidRPr="007355BC"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Texture represents the appearance of the surface and how its elements are distributed. In a sense it assists in predicting the feeling of the surface (e.g. smoothness, coarseness …etc.) from image. AK software is mainly concerned with texture classification accuracy improvement using textures features statistical based methods.</w:t>
      </w:r>
    </w:p>
    <w:p w14:paraId="40EC750A" w14:textId="77777777" w:rsidR="00C02DF2" w:rsidRPr="007355BC"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Form factor includes descriptors of the three-dimensional size and shape of the tumor region.</w:t>
      </w:r>
    </w:p>
    <w:p w14:paraId="4A52C797" w14:textId="77777777" w:rsidR="00C02DF2" w:rsidRPr="007355BC"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Grey level co-occurrence matrix (GLCM) P (</w:t>
      </w:r>
      <w:proofErr w:type="spellStart"/>
      <w:r w:rsidRPr="007355BC">
        <w:rPr>
          <w:rFonts w:ascii="Times New Roman" w:hAnsi="Times New Roman" w:cs="Times New Roman"/>
          <w:i/>
          <w:sz w:val="16"/>
          <w:szCs w:val="16"/>
        </w:rPr>
        <w:t>i</w:t>
      </w:r>
      <w:proofErr w:type="spellEnd"/>
      <w:r w:rsidRPr="007355BC">
        <w:rPr>
          <w:rFonts w:ascii="Times New Roman" w:hAnsi="Times New Roman" w:cs="Times New Roman"/>
          <w:i/>
          <w:sz w:val="16"/>
          <w:szCs w:val="16"/>
        </w:rPr>
        <w:t xml:space="preserve">, </w:t>
      </w:r>
      <w:proofErr w:type="spellStart"/>
      <w:r w:rsidRPr="007355BC">
        <w:rPr>
          <w:rFonts w:ascii="Times New Roman" w:hAnsi="Times New Roman" w:cs="Times New Roman"/>
          <w:i/>
          <w:sz w:val="16"/>
          <w:szCs w:val="16"/>
        </w:rPr>
        <w:t>j</w:t>
      </w:r>
      <w:r w:rsidRPr="007355BC">
        <w:rPr>
          <w:rFonts w:ascii="Times New Roman" w:hAnsi="Times New Roman" w:cs="Times New Roman"/>
          <w:sz w:val="16"/>
          <w:szCs w:val="16"/>
        </w:rPr>
        <w:t>|</w:t>
      </w:r>
      <w:r w:rsidRPr="007355BC">
        <w:rPr>
          <w:rFonts w:ascii="Times New Roman" w:hAnsi="Times New Roman" w:cs="Times New Roman"/>
          <w:i/>
          <w:sz w:val="16"/>
          <w:szCs w:val="16"/>
        </w:rPr>
        <w:t>θ</w:t>
      </w:r>
      <w:proofErr w:type="spellEnd"/>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d</w:t>
      </w:r>
      <w:r w:rsidRPr="007355BC">
        <w:rPr>
          <w:rFonts w:ascii="Times New Roman" w:hAnsi="Times New Roman" w:cs="Times New Roman"/>
          <w:sz w:val="16"/>
          <w:szCs w:val="16"/>
        </w:rPr>
        <w:t xml:space="preserve">) represents the joint probability of certain sets of pixels having certain grey-level values. It calculates how many times a pixel with grey-level </w:t>
      </w:r>
      <w:proofErr w:type="spellStart"/>
      <w:r w:rsidRPr="007355BC">
        <w:rPr>
          <w:rFonts w:ascii="Times New Roman" w:hAnsi="Times New Roman" w:cs="Times New Roman"/>
          <w:i/>
          <w:sz w:val="16"/>
          <w:szCs w:val="16"/>
        </w:rPr>
        <w:t>i</w:t>
      </w:r>
      <w:proofErr w:type="spellEnd"/>
      <w:r w:rsidRPr="007355BC">
        <w:rPr>
          <w:rFonts w:ascii="Times New Roman" w:hAnsi="Times New Roman" w:cs="Times New Roman"/>
          <w:sz w:val="16"/>
          <w:szCs w:val="16"/>
        </w:rPr>
        <w:t xml:space="preserve"> occurs jointly with another pixel having a grey value </w:t>
      </w:r>
      <w:r w:rsidRPr="007355BC">
        <w:rPr>
          <w:rFonts w:ascii="Times New Roman" w:hAnsi="Times New Roman" w:cs="Times New Roman"/>
          <w:i/>
          <w:sz w:val="16"/>
          <w:szCs w:val="16"/>
        </w:rPr>
        <w:t>j</w:t>
      </w:r>
      <w:r w:rsidRPr="007355BC">
        <w:rPr>
          <w:rFonts w:ascii="Times New Roman" w:hAnsi="Times New Roman" w:cs="Times New Roman"/>
          <w:sz w:val="16"/>
          <w:szCs w:val="16"/>
        </w:rPr>
        <w:t xml:space="preserve"> by varying the displacement vector </w:t>
      </w:r>
      <w:r w:rsidRPr="007355BC">
        <w:rPr>
          <w:rFonts w:ascii="Times New Roman" w:hAnsi="Times New Roman" w:cs="Times New Roman"/>
          <w:i/>
          <w:sz w:val="16"/>
          <w:szCs w:val="16"/>
        </w:rPr>
        <w:t>d</w:t>
      </w:r>
      <w:r w:rsidRPr="007355BC">
        <w:rPr>
          <w:rFonts w:ascii="Times New Roman" w:hAnsi="Times New Roman" w:cs="Times New Roman"/>
          <w:sz w:val="16"/>
          <w:szCs w:val="16"/>
        </w:rPr>
        <w:t xml:space="preserve"> between each pair of pixels. GLCM of an image is computed using displacement vector d defined by its radius, and rotational angles </w:t>
      </w:r>
      <w:r w:rsidRPr="007355BC">
        <w:rPr>
          <w:rFonts w:ascii="Times New Roman" w:hAnsi="Times New Roman" w:cs="Times New Roman"/>
          <w:i/>
          <w:sz w:val="16"/>
          <w:szCs w:val="16"/>
        </w:rPr>
        <w:t>θ</w:t>
      </w:r>
      <w:r w:rsidRPr="007355BC">
        <w:rPr>
          <w:rFonts w:ascii="Times New Roman" w:hAnsi="Times New Roman" w:cs="Times New Roman"/>
          <w:sz w:val="16"/>
          <w:szCs w:val="16"/>
        </w:rPr>
        <w:t>.</w:t>
      </w:r>
    </w:p>
    <w:p w14:paraId="64BFC638" w14:textId="77777777" w:rsidR="00C02DF2" w:rsidRPr="007355BC"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 xml:space="preserve">The grey level run-length matrix (GLRLM) </w:t>
      </w:r>
      <w:proofErr w:type="spellStart"/>
      <w:r w:rsidRPr="007355BC">
        <w:rPr>
          <w:rFonts w:ascii="Times New Roman" w:hAnsi="Times New Roman" w:cs="Times New Roman"/>
          <w:sz w:val="16"/>
          <w:szCs w:val="16"/>
        </w:rPr>
        <w:t>P_r</w:t>
      </w:r>
      <w:proofErr w:type="spellEnd"/>
      <w:r w:rsidRPr="007355BC">
        <w:rPr>
          <w:rFonts w:ascii="Times New Roman" w:hAnsi="Times New Roman" w:cs="Times New Roman"/>
          <w:sz w:val="16"/>
          <w:szCs w:val="16"/>
        </w:rPr>
        <w:t xml:space="preserve"> (</w:t>
      </w:r>
      <w:proofErr w:type="spellStart"/>
      <w:r w:rsidRPr="007355BC">
        <w:rPr>
          <w:rFonts w:ascii="Times New Roman" w:hAnsi="Times New Roman" w:cs="Times New Roman"/>
          <w:i/>
          <w:sz w:val="16"/>
          <w:szCs w:val="16"/>
        </w:rPr>
        <w:t>i</w:t>
      </w:r>
      <w:proofErr w:type="spellEnd"/>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j</w:t>
      </w:r>
      <w:r w:rsidRPr="007355BC">
        <w:rPr>
          <w:rFonts w:ascii="Times New Roman" w:hAnsi="Times New Roman" w:cs="Times New Roman"/>
          <w:sz w:val="16"/>
          <w:szCs w:val="16"/>
        </w:rPr>
        <w:t xml:space="preserve"> | </w:t>
      </w:r>
      <w:proofErr w:type="gramStart"/>
      <w:r w:rsidRPr="007355BC">
        <w:rPr>
          <w:rFonts w:ascii="Times New Roman" w:hAnsi="Times New Roman" w:cs="Times New Roman"/>
          <w:i/>
          <w:sz w:val="16"/>
          <w:szCs w:val="16"/>
        </w:rPr>
        <w:t>θ</w:t>
      </w:r>
      <w:r w:rsidRPr="007355BC">
        <w:rPr>
          <w:rFonts w:ascii="Times New Roman" w:hAnsi="Times New Roman" w:cs="Times New Roman"/>
          <w:sz w:val="16"/>
          <w:szCs w:val="16"/>
        </w:rPr>
        <w:t xml:space="preserve"> )</w:t>
      </w:r>
      <w:proofErr w:type="gramEnd"/>
      <w:r w:rsidRPr="007355BC">
        <w:rPr>
          <w:rFonts w:ascii="Times New Roman" w:hAnsi="Times New Roman" w:cs="Times New Roman"/>
          <w:sz w:val="16"/>
          <w:szCs w:val="16"/>
        </w:rPr>
        <w:t xml:space="preserve"> is defined as the numbers of runs with pixels of gray level </w:t>
      </w:r>
      <w:proofErr w:type="spellStart"/>
      <w:r w:rsidRPr="007355BC">
        <w:rPr>
          <w:rFonts w:ascii="Times New Roman" w:hAnsi="Times New Roman" w:cs="Times New Roman"/>
          <w:i/>
          <w:sz w:val="16"/>
          <w:szCs w:val="16"/>
        </w:rPr>
        <w:t>i</w:t>
      </w:r>
      <w:proofErr w:type="spellEnd"/>
      <w:r w:rsidRPr="007355BC">
        <w:rPr>
          <w:rFonts w:ascii="Times New Roman" w:hAnsi="Times New Roman" w:cs="Times New Roman"/>
          <w:sz w:val="16"/>
          <w:szCs w:val="16"/>
        </w:rPr>
        <w:t xml:space="preserve"> and run length</w:t>
      </w:r>
      <w:r w:rsidRPr="007355BC">
        <w:rPr>
          <w:rFonts w:ascii="Times New Roman" w:hAnsi="Times New Roman" w:cs="Times New Roman"/>
          <w:i/>
          <w:sz w:val="16"/>
          <w:szCs w:val="16"/>
        </w:rPr>
        <w:t xml:space="preserve"> j</w:t>
      </w:r>
      <w:r w:rsidRPr="007355BC">
        <w:rPr>
          <w:rFonts w:ascii="Times New Roman" w:hAnsi="Times New Roman" w:cs="Times New Roman"/>
          <w:sz w:val="16"/>
          <w:szCs w:val="16"/>
        </w:rPr>
        <w:t xml:space="preserve"> for a given direction </w:t>
      </w:r>
      <w:r w:rsidRPr="007355BC">
        <w:rPr>
          <w:rFonts w:ascii="Times New Roman" w:hAnsi="Times New Roman" w:cs="Times New Roman"/>
          <w:i/>
          <w:sz w:val="16"/>
          <w:szCs w:val="16"/>
        </w:rPr>
        <w:t>θ</w:t>
      </w:r>
      <w:r w:rsidRPr="007355BC">
        <w:rPr>
          <w:rFonts w:ascii="Times New Roman" w:hAnsi="Times New Roman" w:cs="Times New Roman"/>
          <w:sz w:val="16"/>
          <w:szCs w:val="16"/>
        </w:rPr>
        <w:t>. RLMs is generated for each sample image segment having directions (0°, 45°, 90° &amp; 135°).</w:t>
      </w:r>
    </w:p>
    <w:p w14:paraId="2C242E6F" w14:textId="03DC9E24" w:rsidR="00C02DF2" w:rsidRDefault="00C02DF2" w:rsidP="00C02DF2">
      <w:pPr>
        <w:pStyle w:val="a8"/>
        <w:numPr>
          <w:ilvl w:val="0"/>
          <w:numId w:val="1"/>
        </w:numPr>
        <w:ind w:firstLineChars="0"/>
        <w:rPr>
          <w:rFonts w:ascii="Times New Roman" w:hAnsi="Times New Roman" w:cs="Times New Roman"/>
          <w:sz w:val="16"/>
          <w:szCs w:val="16"/>
        </w:rPr>
      </w:pPr>
      <w:r w:rsidRPr="007355BC">
        <w:rPr>
          <w:rFonts w:ascii="Times New Roman" w:hAnsi="Times New Roman" w:cs="Times New Roman"/>
          <w:sz w:val="16"/>
          <w:szCs w:val="16"/>
        </w:rPr>
        <w:t xml:space="preserve">The gray level Size Zone Matrix (GLSZM) is the starting point of Thibault matrices. For a texture image f with N gray levels, it is denoted </w:t>
      </w:r>
      <w:proofErr w:type="spellStart"/>
      <w:r w:rsidRPr="007355BC">
        <w:rPr>
          <w:rFonts w:ascii="Times New Roman" w:hAnsi="Times New Roman" w:cs="Times New Roman"/>
          <w:sz w:val="16"/>
          <w:szCs w:val="16"/>
        </w:rPr>
        <w:t>GSf</w:t>
      </w:r>
      <w:proofErr w:type="spellEnd"/>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s</w:t>
      </w:r>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g</w:t>
      </w:r>
      <w:r w:rsidRPr="007355BC">
        <w:rPr>
          <w:rFonts w:ascii="Times New Roman" w:hAnsi="Times New Roman" w:cs="Times New Roman"/>
          <w:sz w:val="16"/>
          <w:szCs w:val="16"/>
        </w:rPr>
        <w:t xml:space="preserve">) and provides a statistical representation by the estimation of a bivariate conditional probability density function of the image distribution values. It is calculated according to the pioneering Run Length Matrix principle: the value of the matrix </w:t>
      </w:r>
      <w:proofErr w:type="spellStart"/>
      <w:r w:rsidRPr="007355BC">
        <w:rPr>
          <w:rFonts w:ascii="Times New Roman" w:hAnsi="Times New Roman" w:cs="Times New Roman"/>
          <w:sz w:val="16"/>
          <w:szCs w:val="16"/>
        </w:rPr>
        <w:t>GSf</w:t>
      </w:r>
      <w:proofErr w:type="spellEnd"/>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s</w:t>
      </w:r>
      <w:r w:rsidRPr="007355BC">
        <w:rPr>
          <w:rFonts w:ascii="Times New Roman" w:hAnsi="Times New Roman" w:cs="Times New Roman"/>
          <w:sz w:val="16"/>
          <w:szCs w:val="16"/>
        </w:rPr>
        <w:t xml:space="preserve">, </w:t>
      </w:r>
      <w:r w:rsidRPr="007355BC">
        <w:rPr>
          <w:rFonts w:ascii="Times New Roman" w:hAnsi="Times New Roman" w:cs="Times New Roman"/>
          <w:i/>
          <w:sz w:val="16"/>
          <w:szCs w:val="16"/>
        </w:rPr>
        <w:t>g</w:t>
      </w:r>
      <w:r w:rsidRPr="007355BC">
        <w:rPr>
          <w:rFonts w:ascii="Times New Roman" w:hAnsi="Times New Roman" w:cs="Times New Roman"/>
          <w:sz w:val="16"/>
          <w:szCs w:val="16"/>
        </w:rPr>
        <w:t xml:space="preserve">) is equal to the number of zones of size </w:t>
      </w:r>
      <w:r w:rsidRPr="007355BC">
        <w:rPr>
          <w:rFonts w:ascii="Times New Roman" w:hAnsi="Times New Roman" w:cs="Times New Roman"/>
          <w:i/>
          <w:sz w:val="16"/>
          <w:szCs w:val="16"/>
        </w:rPr>
        <w:t>s</w:t>
      </w:r>
      <w:r w:rsidRPr="007355BC">
        <w:rPr>
          <w:rFonts w:ascii="Times New Roman" w:hAnsi="Times New Roman" w:cs="Times New Roman"/>
          <w:sz w:val="16"/>
          <w:szCs w:val="16"/>
        </w:rPr>
        <w:t xml:space="preserve"> and of gray level</w:t>
      </w:r>
      <w:r w:rsidRPr="007355BC">
        <w:rPr>
          <w:rFonts w:ascii="Times New Roman" w:hAnsi="Times New Roman" w:cs="Times New Roman"/>
          <w:i/>
          <w:sz w:val="16"/>
          <w:szCs w:val="16"/>
        </w:rPr>
        <w:t xml:space="preserve"> g</w:t>
      </w:r>
      <w:r w:rsidRPr="007355BC">
        <w:rPr>
          <w:rFonts w:ascii="Times New Roman" w:hAnsi="Times New Roman" w:cs="Times New Roman"/>
          <w:sz w:val="16"/>
          <w:szCs w:val="16"/>
        </w:rPr>
        <w:t>.</w:t>
      </w:r>
    </w:p>
    <w:p w14:paraId="41AB769D" w14:textId="5D9433BD" w:rsidR="00C02DF2" w:rsidRDefault="00C02DF2" w:rsidP="00C02DF2">
      <w:pPr>
        <w:rPr>
          <w:rFonts w:ascii="Times New Roman" w:hAnsi="Times New Roman" w:cs="Times New Roman"/>
          <w:sz w:val="16"/>
          <w:szCs w:val="16"/>
        </w:rPr>
      </w:pPr>
    </w:p>
    <w:p w14:paraId="1991C735" w14:textId="0894052A" w:rsidR="00C02DF2" w:rsidRDefault="00C02DF2" w:rsidP="00C02DF2">
      <w:pPr>
        <w:rPr>
          <w:rFonts w:ascii="Times New Roman" w:hAnsi="Times New Roman" w:cs="Times New Roman"/>
          <w:sz w:val="16"/>
          <w:szCs w:val="16"/>
        </w:rPr>
      </w:pPr>
    </w:p>
    <w:p w14:paraId="3196C59F" w14:textId="0028226F" w:rsidR="00C02DF2" w:rsidRDefault="00C02DF2" w:rsidP="00C02DF2">
      <w:pPr>
        <w:rPr>
          <w:rFonts w:ascii="Times New Roman" w:hAnsi="Times New Roman" w:cs="Times New Roman"/>
          <w:sz w:val="16"/>
          <w:szCs w:val="16"/>
        </w:rPr>
      </w:pPr>
    </w:p>
    <w:p w14:paraId="1EBD9C3F" w14:textId="6B1FDEE6" w:rsidR="00C02DF2" w:rsidRDefault="00C02DF2" w:rsidP="00C02DF2">
      <w:pPr>
        <w:rPr>
          <w:rFonts w:ascii="Times New Roman" w:hAnsi="Times New Roman" w:cs="Times New Roman"/>
          <w:sz w:val="16"/>
          <w:szCs w:val="16"/>
        </w:rPr>
      </w:pPr>
    </w:p>
    <w:p w14:paraId="40B706C1" w14:textId="488AF4DA" w:rsidR="00C02DF2" w:rsidRDefault="00C02DF2" w:rsidP="00C02DF2">
      <w:pPr>
        <w:rPr>
          <w:rFonts w:ascii="Times New Roman" w:hAnsi="Times New Roman" w:cs="Times New Roman"/>
          <w:sz w:val="16"/>
          <w:szCs w:val="16"/>
        </w:rPr>
      </w:pPr>
    </w:p>
    <w:p w14:paraId="15E027C3" w14:textId="53623224" w:rsidR="00C02DF2" w:rsidRDefault="00C02DF2" w:rsidP="00C02DF2">
      <w:pPr>
        <w:rPr>
          <w:rFonts w:ascii="Times New Roman" w:hAnsi="Times New Roman" w:cs="Times New Roman"/>
          <w:sz w:val="16"/>
          <w:szCs w:val="16"/>
        </w:rPr>
      </w:pPr>
    </w:p>
    <w:p w14:paraId="792A61CC" w14:textId="69F6BD54" w:rsidR="00C02DF2" w:rsidRDefault="00C02DF2" w:rsidP="00C02DF2">
      <w:pPr>
        <w:rPr>
          <w:rFonts w:ascii="Times New Roman" w:hAnsi="Times New Roman" w:cs="Times New Roman"/>
          <w:sz w:val="16"/>
          <w:szCs w:val="16"/>
        </w:rPr>
      </w:pPr>
    </w:p>
    <w:p w14:paraId="39CA20D9" w14:textId="1A5AFCCD" w:rsidR="00C02DF2" w:rsidRDefault="00C02DF2" w:rsidP="00C02DF2">
      <w:pPr>
        <w:rPr>
          <w:rFonts w:ascii="Times New Roman" w:hAnsi="Times New Roman" w:cs="Times New Roman"/>
          <w:sz w:val="16"/>
          <w:szCs w:val="16"/>
        </w:rPr>
      </w:pPr>
    </w:p>
    <w:p w14:paraId="2FA10164" w14:textId="4EBF26A7" w:rsidR="00C02DF2" w:rsidRDefault="00C02DF2" w:rsidP="00C02DF2">
      <w:pPr>
        <w:rPr>
          <w:rFonts w:ascii="Times New Roman" w:hAnsi="Times New Roman" w:cs="Times New Roman"/>
          <w:sz w:val="16"/>
          <w:szCs w:val="16"/>
        </w:rPr>
      </w:pPr>
    </w:p>
    <w:p w14:paraId="163ABFE5" w14:textId="66E064E5" w:rsidR="00C02DF2" w:rsidRDefault="00C02DF2" w:rsidP="00C02DF2">
      <w:pPr>
        <w:rPr>
          <w:rFonts w:ascii="Times New Roman" w:hAnsi="Times New Roman" w:cs="Times New Roman"/>
          <w:sz w:val="16"/>
          <w:szCs w:val="16"/>
        </w:rPr>
      </w:pPr>
    </w:p>
    <w:p w14:paraId="498B8194" w14:textId="07F6E32F" w:rsidR="00C02DF2" w:rsidRDefault="00C02DF2" w:rsidP="00C02DF2">
      <w:pPr>
        <w:rPr>
          <w:rFonts w:ascii="Times New Roman" w:hAnsi="Times New Roman" w:cs="Times New Roman"/>
          <w:sz w:val="16"/>
          <w:szCs w:val="16"/>
        </w:rPr>
      </w:pPr>
    </w:p>
    <w:p w14:paraId="25764271" w14:textId="44DF9DA7" w:rsidR="00C02DF2" w:rsidRDefault="00C02DF2" w:rsidP="00C02DF2">
      <w:pPr>
        <w:rPr>
          <w:rFonts w:ascii="Times New Roman" w:hAnsi="Times New Roman" w:cs="Times New Roman"/>
          <w:sz w:val="16"/>
          <w:szCs w:val="16"/>
        </w:rPr>
      </w:pPr>
    </w:p>
    <w:p w14:paraId="51AFD6C6" w14:textId="61CF523A" w:rsidR="00C02DF2" w:rsidRDefault="00C02DF2" w:rsidP="00C02DF2">
      <w:pPr>
        <w:rPr>
          <w:rFonts w:ascii="Times New Roman" w:hAnsi="Times New Roman" w:cs="Times New Roman"/>
          <w:sz w:val="16"/>
          <w:szCs w:val="16"/>
        </w:rPr>
      </w:pPr>
    </w:p>
    <w:p w14:paraId="69927547" w14:textId="32AA0873" w:rsidR="00C02DF2" w:rsidRDefault="00C02DF2" w:rsidP="00C02DF2">
      <w:pPr>
        <w:rPr>
          <w:rFonts w:ascii="Times New Roman" w:hAnsi="Times New Roman" w:cs="Times New Roman"/>
          <w:sz w:val="16"/>
          <w:szCs w:val="16"/>
        </w:rPr>
      </w:pPr>
    </w:p>
    <w:p w14:paraId="4012ED95" w14:textId="313143BF" w:rsidR="00C02DF2" w:rsidRDefault="00C02DF2" w:rsidP="00C02DF2">
      <w:pPr>
        <w:rPr>
          <w:rFonts w:ascii="Times New Roman" w:hAnsi="Times New Roman" w:cs="Times New Roman"/>
          <w:sz w:val="16"/>
          <w:szCs w:val="16"/>
        </w:rPr>
      </w:pPr>
    </w:p>
    <w:p w14:paraId="4A00CF54" w14:textId="4A65F80C" w:rsidR="00C02DF2" w:rsidRDefault="00C02DF2" w:rsidP="00C02DF2">
      <w:pPr>
        <w:rPr>
          <w:rFonts w:ascii="Times New Roman" w:hAnsi="Times New Roman" w:cs="Times New Roman"/>
          <w:sz w:val="16"/>
          <w:szCs w:val="16"/>
        </w:rPr>
      </w:pPr>
    </w:p>
    <w:p w14:paraId="44E9D32E" w14:textId="77777777" w:rsidR="00A90E6C" w:rsidRDefault="00A90E6C" w:rsidP="00C02DF2">
      <w:pPr>
        <w:rPr>
          <w:rFonts w:ascii="Times New Roman" w:hAnsi="Times New Roman" w:cs="Times New Roman" w:hint="eastAsia"/>
          <w:sz w:val="16"/>
          <w:szCs w:val="16"/>
        </w:rPr>
      </w:pPr>
      <w:bookmarkStart w:id="0" w:name="_GoBack"/>
      <w:bookmarkEnd w:id="0"/>
    </w:p>
    <w:p w14:paraId="47C6DC6E" w14:textId="30E4219C" w:rsidR="00C02DF2" w:rsidRPr="006C7F64" w:rsidRDefault="00C02DF2" w:rsidP="006C7F64">
      <w:pPr>
        <w:adjustRightInd w:val="0"/>
        <w:snapToGrid w:val="0"/>
        <w:spacing w:line="360" w:lineRule="auto"/>
        <w:rPr>
          <w:rFonts w:ascii="Times New Roman" w:hAnsi="Times New Roman" w:cs="Times New Roman"/>
          <w:b/>
          <w:bCs/>
          <w:kern w:val="0"/>
          <w:sz w:val="20"/>
          <w:szCs w:val="20"/>
        </w:rPr>
      </w:pPr>
      <w:r w:rsidRPr="006C7F64">
        <w:rPr>
          <w:rFonts w:ascii="Times New Roman" w:hAnsi="Times New Roman" w:cs="Times New Roman" w:hint="eastAsia"/>
          <w:b/>
          <w:bCs/>
          <w:kern w:val="0"/>
          <w:sz w:val="20"/>
          <w:szCs w:val="20"/>
        </w:rPr>
        <w:lastRenderedPageBreak/>
        <w:t>S</w:t>
      </w:r>
      <w:r w:rsidRPr="006C7F64">
        <w:rPr>
          <w:rFonts w:ascii="Times New Roman" w:hAnsi="Times New Roman" w:cs="Times New Roman"/>
          <w:b/>
          <w:bCs/>
          <w:kern w:val="0"/>
          <w:sz w:val="20"/>
          <w:szCs w:val="20"/>
        </w:rPr>
        <w:t>upplemental Table 2.</w:t>
      </w:r>
      <w:r w:rsidR="006C7F64">
        <w:rPr>
          <w:rFonts w:ascii="Times New Roman" w:hAnsi="Times New Roman" w:cs="Times New Roman"/>
          <w:b/>
          <w:bCs/>
          <w:kern w:val="0"/>
          <w:sz w:val="20"/>
          <w:szCs w:val="20"/>
        </w:rPr>
        <w:t xml:space="preserve"> A summary of radiomics features significantly associated with treatment response of neoadjuvant chemotherapy</w:t>
      </w:r>
    </w:p>
    <w:tbl>
      <w:tblPr>
        <w:tblStyle w:val="a7"/>
        <w:tblW w:w="850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1"/>
        <w:gridCol w:w="2106"/>
        <w:gridCol w:w="1701"/>
        <w:gridCol w:w="2268"/>
      </w:tblGrid>
      <w:tr w:rsidR="00C02DF2" w:rsidRPr="006C7F64" w14:paraId="42AC79E0" w14:textId="77777777" w:rsidTr="0099092E">
        <w:tc>
          <w:tcPr>
            <w:tcW w:w="2431" w:type="dxa"/>
            <w:tcBorders>
              <w:top w:val="single" w:sz="4" w:space="0" w:color="auto"/>
              <w:bottom w:val="single" w:sz="4" w:space="0" w:color="auto"/>
            </w:tcBorders>
          </w:tcPr>
          <w:p w14:paraId="09C4CF12"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proofErr w:type="spellStart"/>
            <w:r w:rsidRPr="006C7F64">
              <w:rPr>
                <w:rFonts w:ascii="Times New Roman" w:hAnsi="Times New Roman" w:cs="Times New Roman"/>
                <w:sz w:val="20"/>
                <w:szCs w:val="20"/>
              </w:rPr>
              <w:t>MaxIntensity</w:t>
            </w:r>
            <w:proofErr w:type="spellEnd"/>
          </w:p>
        </w:tc>
        <w:tc>
          <w:tcPr>
            <w:tcW w:w="2106" w:type="dxa"/>
            <w:tcBorders>
              <w:top w:val="single" w:sz="4" w:space="0" w:color="auto"/>
              <w:bottom w:val="single" w:sz="4" w:space="0" w:color="auto"/>
            </w:tcBorders>
          </w:tcPr>
          <w:p w14:paraId="5E48938B"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uniformity</w:t>
            </w:r>
          </w:p>
        </w:tc>
        <w:tc>
          <w:tcPr>
            <w:tcW w:w="1701" w:type="dxa"/>
            <w:tcBorders>
              <w:top w:val="single" w:sz="4" w:space="0" w:color="auto"/>
              <w:bottom w:val="single" w:sz="4" w:space="0" w:color="auto"/>
            </w:tcBorders>
          </w:tcPr>
          <w:p w14:paraId="21512991"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GLCMEntropy_angle45_offset1</w:t>
            </w:r>
          </w:p>
        </w:tc>
        <w:tc>
          <w:tcPr>
            <w:tcW w:w="2268" w:type="dxa"/>
            <w:tcBorders>
              <w:top w:val="single" w:sz="4" w:space="0" w:color="auto"/>
              <w:bottom w:val="single" w:sz="4" w:space="0" w:color="auto"/>
            </w:tcBorders>
          </w:tcPr>
          <w:p w14:paraId="41B472FF"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GLCMEntropy_angle90_offset1</w:t>
            </w:r>
          </w:p>
        </w:tc>
      </w:tr>
      <w:tr w:rsidR="00C02DF2" w:rsidRPr="006C7F64" w14:paraId="24FB4297" w14:textId="77777777" w:rsidTr="0099092E">
        <w:tc>
          <w:tcPr>
            <w:tcW w:w="2431" w:type="dxa"/>
            <w:tcBorders>
              <w:top w:val="single" w:sz="4" w:space="0" w:color="auto"/>
            </w:tcBorders>
          </w:tcPr>
          <w:p w14:paraId="6DCC6D06"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Inertia_angle0_offset3</w:t>
            </w:r>
          </w:p>
        </w:tc>
        <w:tc>
          <w:tcPr>
            <w:tcW w:w="2106" w:type="dxa"/>
            <w:tcBorders>
              <w:top w:val="single" w:sz="4" w:space="0" w:color="auto"/>
            </w:tcBorders>
          </w:tcPr>
          <w:p w14:paraId="567F7989"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Inertia_angle0_offset4</w:t>
            </w:r>
          </w:p>
        </w:tc>
        <w:tc>
          <w:tcPr>
            <w:tcW w:w="1701" w:type="dxa"/>
            <w:tcBorders>
              <w:top w:val="single" w:sz="4" w:space="0" w:color="auto"/>
            </w:tcBorders>
          </w:tcPr>
          <w:p w14:paraId="73666E6F"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GLCMEntropy_angle135_offset4</w:t>
            </w:r>
          </w:p>
        </w:tc>
        <w:tc>
          <w:tcPr>
            <w:tcW w:w="2268" w:type="dxa"/>
            <w:tcBorders>
              <w:top w:val="single" w:sz="4" w:space="0" w:color="auto"/>
            </w:tcBorders>
          </w:tcPr>
          <w:p w14:paraId="3BA78738"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sz w:val="20"/>
                <w:szCs w:val="20"/>
              </w:rPr>
              <w:t>InverseDifferenceMoment_AllDirection_offset5_SD</w:t>
            </w:r>
          </w:p>
        </w:tc>
      </w:tr>
      <w:tr w:rsidR="00C02DF2" w:rsidRPr="006C7F64" w14:paraId="6D884536" w14:textId="77777777" w:rsidTr="0099092E">
        <w:tc>
          <w:tcPr>
            <w:tcW w:w="2431" w:type="dxa"/>
            <w:vAlign w:val="center"/>
          </w:tcPr>
          <w:p w14:paraId="56366D20"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GLCMEntropy_AllDirection_offset8_SD</w:t>
            </w:r>
          </w:p>
        </w:tc>
        <w:tc>
          <w:tcPr>
            <w:tcW w:w="2106" w:type="dxa"/>
            <w:vAlign w:val="center"/>
          </w:tcPr>
          <w:p w14:paraId="01054F67"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GLCMEntropy_angle45_offset8</w:t>
            </w:r>
          </w:p>
        </w:tc>
        <w:tc>
          <w:tcPr>
            <w:tcW w:w="1701" w:type="dxa"/>
            <w:vAlign w:val="center"/>
          </w:tcPr>
          <w:p w14:paraId="43C3CFAD"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Correlation_angle90_offset9</w:t>
            </w:r>
          </w:p>
        </w:tc>
        <w:tc>
          <w:tcPr>
            <w:tcW w:w="2268" w:type="dxa"/>
            <w:vAlign w:val="center"/>
          </w:tcPr>
          <w:p w14:paraId="4A02EE99"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HaralickCorrelation_angle90_offset9</w:t>
            </w:r>
          </w:p>
        </w:tc>
      </w:tr>
      <w:tr w:rsidR="00C02DF2" w:rsidRPr="006C7F64" w14:paraId="6D23F0BD" w14:textId="77777777" w:rsidTr="0099092E">
        <w:tc>
          <w:tcPr>
            <w:tcW w:w="2431" w:type="dxa"/>
            <w:vAlign w:val="center"/>
          </w:tcPr>
          <w:p w14:paraId="1FD41C75"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RunLengthNonuniformity_AllDirection_offset1_SD</w:t>
            </w:r>
          </w:p>
        </w:tc>
        <w:tc>
          <w:tcPr>
            <w:tcW w:w="2106" w:type="dxa"/>
            <w:vAlign w:val="center"/>
          </w:tcPr>
          <w:p w14:paraId="27548774"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LongRunLowGreyLevelEmphasis_AllDirection_offset1_SD</w:t>
            </w:r>
          </w:p>
        </w:tc>
        <w:tc>
          <w:tcPr>
            <w:tcW w:w="1701" w:type="dxa"/>
            <w:vAlign w:val="center"/>
          </w:tcPr>
          <w:p w14:paraId="70DD2389"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LongRunEmphasis_angle90_offset1</w:t>
            </w:r>
          </w:p>
        </w:tc>
        <w:tc>
          <w:tcPr>
            <w:tcW w:w="2268" w:type="dxa"/>
            <w:vAlign w:val="center"/>
          </w:tcPr>
          <w:p w14:paraId="6EA93A06"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ShortRunLowGreyLevelEmphasis_AllDirection_offset2_SD</w:t>
            </w:r>
          </w:p>
        </w:tc>
      </w:tr>
      <w:tr w:rsidR="00C02DF2" w:rsidRPr="006C7F64" w14:paraId="37DB5ED9" w14:textId="77777777" w:rsidTr="0099092E">
        <w:tc>
          <w:tcPr>
            <w:tcW w:w="2431" w:type="dxa"/>
            <w:vAlign w:val="center"/>
          </w:tcPr>
          <w:p w14:paraId="16D7668B"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RunLengthNonuniformity_AllDirection_offset1_SD</w:t>
            </w:r>
          </w:p>
        </w:tc>
        <w:tc>
          <w:tcPr>
            <w:tcW w:w="2106" w:type="dxa"/>
            <w:vAlign w:val="center"/>
          </w:tcPr>
          <w:p w14:paraId="60859AEA"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LongRunLowGreyLevelEmphasis_AllDirection_offset1_SD</w:t>
            </w:r>
          </w:p>
        </w:tc>
        <w:tc>
          <w:tcPr>
            <w:tcW w:w="1701" w:type="dxa"/>
            <w:vAlign w:val="center"/>
          </w:tcPr>
          <w:p w14:paraId="0094FA99"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LongRunEmphasis_angle90_offset1</w:t>
            </w:r>
          </w:p>
        </w:tc>
        <w:tc>
          <w:tcPr>
            <w:tcW w:w="2268" w:type="dxa"/>
            <w:vAlign w:val="center"/>
          </w:tcPr>
          <w:p w14:paraId="6E5E6F29" w14:textId="77777777" w:rsidR="00C02DF2" w:rsidRPr="006C7F64" w:rsidRDefault="00C02DF2" w:rsidP="00193C77">
            <w:pPr>
              <w:pStyle w:val="a8"/>
              <w:spacing w:line="360" w:lineRule="auto"/>
              <w:ind w:firstLineChars="0" w:firstLine="0"/>
              <w:rPr>
                <w:rFonts w:ascii="Times New Roman" w:hAnsi="Times New Roman" w:cs="Times New Roman"/>
                <w:sz w:val="20"/>
                <w:szCs w:val="20"/>
              </w:rPr>
            </w:pPr>
            <w:r w:rsidRPr="006C7F64">
              <w:rPr>
                <w:rFonts w:ascii="Times New Roman" w:hAnsi="Times New Roman" w:cs="Times New Roman"/>
                <w:color w:val="000000"/>
                <w:sz w:val="20"/>
                <w:szCs w:val="20"/>
              </w:rPr>
              <w:t>ShortRunLowGreyLevelEmphasis_AllDirection_offset2_SD</w:t>
            </w:r>
          </w:p>
        </w:tc>
      </w:tr>
      <w:tr w:rsidR="00C02DF2" w:rsidRPr="006C7F64" w14:paraId="446ACF49" w14:textId="77777777" w:rsidTr="0099092E">
        <w:tc>
          <w:tcPr>
            <w:tcW w:w="2431" w:type="dxa"/>
          </w:tcPr>
          <w:p w14:paraId="75D27FDF"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r w:rsidRPr="006C7F64">
              <w:rPr>
                <w:rFonts w:ascii="Times New Roman" w:hAnsi="Times New Roman" w:cs="Times New Roman"/>
                <w:sz w:val="20"/>
                <w:szCs w:val="20"/>
              </w:rPr>
              <w:t>RunLengthNonuniformity_AllDirection_offset1_SD</w:t>
            </w:r>
          </w:p>
        </w:tc>
        <w:tc>
          <w:tcPr>
            <w:tcW w:w="2106" w:type="dxa"/>
          </w:tcPr>
          <w:p w14:paraId="2780946F"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r w:rsidRPr="006C7F64">
              <w:rPr>
                <w:rFonts w:ascii="Times New Roman" w:hAnsi="Times New Roman" w:cs="Times New Roman"/>
                <w:sz w:val="20"/>
                <w:szCs w:val="20"/>
              </w:rPr>
              <w:t>LongRunLowGreyLevelEmphasis_AllDirection_offset1_SD</w:t>
            </w:r>
          </w:p>
        </w:tc>
        <w:tc>
          <w:tcPr>
            <w:tcW w:w="1701" w:type="dxa"/>
          </w:tcPr>
          <w:p w14:paraId="0ACB3B12"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r w:rsidRPr="006C7F64">
              <w:rPr>
                <w:rFonts w:ascii="Times New Roman" w:hAnsi="Times New Roman" w:cs="Times New Roman"/>
                <w:sz w:val="20"/>
                <w:szCs w:val="20"/>
              </w:rPr>
              <w:t>LongRunEmphasis_angle90_offset1</w:t>
            </w:r>
          </w:p>
        </w:tc>
        <w:tc>
          <w:tcPr>
            <w:tcW w:w="2268" w:type="dxa"/>
          </w:tcPr>
          <w:p w14:paraId="31A5E5BA"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r w:rsidRPr="006C7F64">
              <w:rPr>
                <w:rFonts w:ascii="Times New Roman" w:hAnsi="Times New Roman" w:cs="Times New Roman"/>
                <w:sz w:val="20"/>
                <w:szCs w:val="20"/>
              </w:rPr>
              <w:t>ShortRunLowGreyLevelEmphasis_AllDirection_offset2_SD</w:t>
            </w:r>
          </w:p>
        </w:tc>
      </w:tr>
      <w:tr w:rsidR="00C02DF2" w:rsidRPr="006C7F64" w14:paraId="544537D2" w14:textId="77777777" w:rsidTr="0099092E">
        <w:tc>
          <w:tcPr>
            <w:tcW w:w="2431" w:type="dxa"/>
            <w:tcBorders>
              <w:bottom w:val="single" w:sz="4" w:space="0" w:color="auto"/>
            </w:tcBorders>
            <w:vAlign w:val="center"/>
          </w:tcPr>
          <w:p w14:paraId="509EFEA2"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r w:rsidRPr="006C7F64">
              <w:rPr>
                <w:rFonts w:ascii="Times New Roman" w:hAnsi="Times New Roman" w:cs="Times New Roman"/>
                <w:color w:val="000000"/>
                <w:sz w:val="20"/>
                <w:szCs w:val="20"/>
              </w:rPr>
              <w:t>ShortRunLowGreyLevelEmphasis_AllDirection_offset9_SD</w:t>
            </w:r>
          </w:p>
        </w:tc>
        <w:tc>
          <w:tcPr>
            <w:tcW w:w="2106" w:type="dxa"/>
            <w:tcBorders>
              <w:bottom w:val="single" w:sz="4" w:space="0" w:color="auto"/>
            </w:tcBorders>
            <w:vAlign w:val="center"/>
          </w:tcPr>
          <w:p w14:paraId="7E9B61E4"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p>
        </w:tc>
        <w:tc>
          <w:tcPr>
            <w:tcW w:w="1701" w:type="dxa"/>
            <w:tcBorders>
              <w:bottom w:val="single" w:sz="4" w:space="0" w:color="auto"/>
            </w:tcBorders>
            <w:vAlign w:val="center"/>
          </w:tcPr>
          <w:p w14:paraId="2A076E40"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p>
        </w:tc>
        <w:tc>
          <w:tcPr>
            <w:tcW w:w="2268" w:type="dxa"/>
            <w:tcBorders>
              <w:bottom w:val="single" w:sz="4" w:space="0" w:color="auto"/>
            </w:tcBorders>
            <w:vAlign w:val="center"/>
          </w:tcPr>
          <w:p w14:paraId="7A1D61FE" w14:textId="77777777" w:rsidR="00C02DF2" w:rsidRPr="006C7F64" w:rsidRDefault="00C02DF2" w:rsidP="00193C77">
            <w:pPr>
              <w:pStyle w:val="a8"/>
              <w:spacing w:line="360" w:lineRule="auto"/>
              <w:ind w:firstLineChars="0" w:firstLine="0"/>
              <w:rPr>
                <w:rFonts w:ascii="Times New Roman" w:hAnsi="Times New Roman" w:cs="Times New Roman"/>
                <w:color w:val="000000"/>
                <w:sz w:val="20"/>
                <w:szCs w:val="20"/>
              </w:rPr>
            </w:pPr>
          </w:p>
        </w:tc>
      </w:tr>
    </w:tbl>
    <w:p w14:paraId="0CA0A41E" w14:textId="77777777" w:rsidR="00C02DF2" w:rsidRPr="00C02DF2" w:rsidRDefault="00C02DF2" w:rsidP="00C02DF2">
      <w:pPr>
        <w:rPr>
          <w:rFonts w:ascii="Times New Roman" w:hAnsi="Times New Roman" w:cs="Times New Roman"/>
          <w:sz w:val="16"/>
          <w:szCs w:val="16"/>
        </w:rPr>
      </w:pPr>
    </w:p>
    <w:p w14:paraId="781E460B" w14:textId="77777777" w:rsidR="00DC243A" w:rsidRPr="00C02DF2" w:rsidRDefault="00DC243A"/>
    <w:sectPr w:rsidR="00DC243A" w:rsidRPr="00C02D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99859" w14:textId="77777777" w:rsidR="00C02DF2" w:rsidRDefault="00C02DF2" w:rsidP="00C02DF2">
      <w:r>
        <w:separator/>
      </w:r>
    </w:p>
  </w:endnote>
  <w:endnote w:type="continuationSeparator" w:id="0">
    <w:p w14:paraId="05FFAA1F" w14:textId="77777777" w:rsidR="00C02DF2" w:rsidRDefault="00C02DF2" w:rsidP="00C0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6E8C9" w14:textId="77777777" w:rsidR="00C02DF2" w:rsidRDefault="00C02DF2" w:rsidP="00C02DF2">
      <w:r>
        <w:separator/>
      </w:r>
    </w:p>
  </w:footnote>
  <w:footnote w:type="continuationSeparator" w:id="0">
    <w:p w14:paraId="0AD67D07" w14:textId="77777777" w:rsidR="00C02DF2" w:rsidRDefault="00C02DF2" w:rsidP="00C02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0539C"/>
    <w:multiLevelType w:val="hybridMultilevel"/>
    <w:tmpl w:val="099017BC"/>
    <w:lvl w:ilvl="0" w:tplc="BE6CDD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9F"/>
    <w:rsid w:val="002634A7"/>
    <w:rsid w:val="004D39EE"/>
    <w:rsid w:val="00624759"/>
    <w:rsid w:val="006C7F64"/>
    <w:rsid w:val="00717B9F"/>
    <w:rsid w:val="0099092E"/>
    <w:rsid w:val="00A90E6C"/>
    <w:rsid w:val="00C02DF2"/>
    <w:rsid w:val="00DA3F5C"/>
    <w:rsid w:val="00DC2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14DF"/>
  <w15:chartTrackingRefBased/>
  <w15:docId w15:val="{C80FBE1E-B07D-47A2-A20D-A765F3F9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2D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2D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2DF2"/>
    <w:rPr>
      <w:sz w:val="18"/>
      <w:szCs w:val="18"/>
    </w:rPr>
  </w:style>
  <w:style w:type="paragraph" w:styleId="a5">
    <w:name w:val="footer"/>
    <w:basedOn w:val="a"/>
    <w:link w:val="a6"/>
    <w:uiPriority w:val="99"/>
    <w:unhideWhenUsed/>
    <w:rsid w:val="00C02DF2"/>
    <w:pPr>
      <w:tabs>
        <w:tab w:val="center" w:pos="4153"/>
        <w:tab w:val="right" w:pos="8306"/>
      </w:tabs>
      <w:snapToGrid w:val="0"/>
      <w:jc w:val="left"/>
    </w:pPr>
    <w:rPr>
      <w:sz w:val="18"/>
      <w:szCs w:val="18"/>
    </w:rPr>
  </w:style>
  <w:style w:type="character" w:customStyle="1" w:styleId="a6">
    <w:name w:val="页脚 字符"/>
    <w:basedOn w:val="a0"/>
    <w:link w:val="a5"/>
    <w:uiPriority w:val="99"/>
    <w:rsid w:val="00C02DF2"/>
    <w:rPr>
      <w:sz w:val="18"/>
      <w:szCs w:val="18"/>
    </w:rPr>
  </w:style>
  <w:style w:type="table" w:styleId="a7">
    <w:name w:val="Table Grid"/>
    <w:basedOn w:val="a1"/>
    <w:uiPriority w:val="39"/>
    <w:rsid w:val="00C02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2DF2"/>
    <w:pPr>
      <w:ind w:firstLineChars="200" w:firstLine="420"/>
    </w:pPr>
  </w:style>
  <w:style w:type="character" w:styleId="a9">
    <w:name w:val="Hyperlink"/>
    <w:basedOn w:val="a0"/>
    <w:uiPriority w:val="99"/>
    <w:unhideWhenUsed/>
    <w:qFormat/>
    <w:rsid w:val="00624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jianb@mail.sysu.edu.cn" TargetMode="External"/><Relationship Id="rId3" Type="http://schemas.openxmlformats.org/officeDocument/2006/relationships/settings" Target="settings.xml"/><Relationship Id="rId7" Type="http://schemas.openxmlformats.org/officeDocument/2006/relationships/hyperlink" Target="mailto:wangw73@mail.sys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SL</dc:creator>
  <cp:keywords/>
  <dc:description/>
  <cp:lastModifiedBy>Chen SL</cp:lastModifiedBy>
  <cp:revision>7</cp:revision>
  <dcterms:created xsi:type="dcterms:W3CDTF">2019-01-23T16:40:00Z</dcterms:created>
  <dcterms:modified xsi:type="dcterms:W3CDTF">2019-04-27T07:54:00Z</dcterms:modified>
</cp:coreProperties>
</file>