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47" w:type="pct"/>
        <w:tblLayout w:type="fixed"/>
        <w:tblLook w:val="04A0" w:firstRow="1" w:lastRow="0" w:firstColumn="1" w:lastColumn="0" w:noHBand="0" w:noVBand="1"/>
      </w:tblPr>
      <w:tblGrid>
        <w:gridCol w:w="4395"/>
        <w:gridCol w:w="1525"/>
        <w:gridCol w:w="1269"/>
        <w:gridCol w:w="1551"/>
        <w:gridCol w:w="1267"/>
      </w:tblGrid>
      <w:tr w:rsidR="00660A7A" w:rsidRPr="00E009F4" w14:paraId="163C2A7C" w14:textId="77777777" w:rsidTr="00E009F4">
        <w:trPr>
          <w:trHeight w:val="300"/>
        </w:trPr>
        <w:tc>
          <w:tcPr>
            <w:tcW w:w="2196" w:type="pct"/>
            <w:tcBorders>
              <w:top w:val="nil"/>
              <w:left w:val="nil"/>
              <w:bottom w:val="single" w:sz="4" w:space="0" w:color="auto"/>
              <w:right w:val="single" w:sz="4" w:space="0" w:color="auto"/>
            </w:tcBorders>
            <w:vAlign w:val="center"/>
          </w:tcPr>
          <w:p w14:paraId="52448BB2" w14:textId="77777777" w:rsidR="00660A7A" w:rsidRPr="00E009F4" w:rsidRDefault="00660A7A" w:rsidP="00E009F4">
            <w:pPr>
              <w:spacing w:line="276" w:lineRule="auto"/>
              <w:rPr>
                <w:rFonts w:eastAsia="Times New Roman" w:cstheme="minorHAnsi"/>
                <w:i/>
                <w:color w:val="000000"/>
                <w:sz w:val="22"/>
                <w:szCs w:val="22"/>
              </w:rPr>
            </w:pPr>
            <w:bookmarkStart w:id="0" w:name="_GoBack"/>
            <w:bookmarkEnd w:id="0"/>
            <w:r w:rsidRPr="00E009F4">
              <w:rPr>
                <w:rFonts w:eastAsia="Times New Roman" w:cstheme="minorHAnsi"/>
                <w:i/>
                <w:color w:val="000000"/>
                <w:sz w:val="22"/>
                <w:szCs w:val="22"/>
              </w:rPr>
              <w:t>Summary of the aims of key studies</w:t>
            </w:r>
          </w:p>
        </w:tc>
        <w:tc>
          <w:tcPr>
            <w:tcW w:w="762" w:type="pct"/>
            <w:tcBorders>
              <w:top w:val="nil"/>
              <w:left w:val="single" w:sz="4" w:space="0" w:color="auto"/>
              <w:bottom w:val="single" w:sz="4" w:space="0" w:color="auto"/>
              <w:right w:val="nil"/>
            </w:tcBorders>
            <w:shd w:val="clear" w:color="auto" w:fill="auto"/>
            <w:noWrap/>
            <w:hideMark/>
          </w:tcPr>
          <w:p w14:paraId="2AAFFCAA" w14:textId="77777777" w:rsidR="00660A7A" w:rsidRPr="00E009F4" w:rsidRDefault="00660A7A" w:rsidP="00E009F4">
            <w:pPr>
              <w:spacing w:line="276" w:lineRule="auto"/>
              <w:rPr>
                <w:rFonts w:eastAsia="Times New Roman" w:cstheme="minorHAnsi"/>
                <w:i/>
                <w:color w:val="000000"/>
                <w:sz w:val="22"/>
                <w:szCs w:val="22"/>
              </w:rPr>
            </w:pPr>
            <w:r w:rsidRPr="00E009F4">
              <w:rPr>
                <w:rFonts w:eastAsia="Times New Roman" w:cstheme="minorHAnsi"/>
                <w:i/>
                <w:color w:val="000000"/>
                <w:sz w:val="22"/>
                <w:szCs w:val="22"/>
              </w:rPr>
              <w:t>Cancer type</w:t>
            </w:r>
          </w:p>
        </w:tc>
        <w:tc>
          <w:tcPr>
            <w:tcW w:w="634" w:type="pct"/>
            <w:tcBorders>
              <w:top w:val="nil"/>
              <w:left w:val="nil"/>
              <w:bottom w:val="single" w:sz="4" w:space="0" w:color="auto"/>
              <w:right w:val="nil"/>
            </w:tcBorders>
            <w:shd w:val="clear" w:color="auto" w:fill="auto"/>
            <w:noWrap/>
            <w:hideMark/>
          </w:tcPr>
          <w:p w14:paraId="3C7CDDCD" w14:textId="259ED9BB" w:rsidR="00660A7A" w:rsidRPr="00E009F4" w:rsidRDefault="00D2017C" w:rsidP="00E009F4">
            <w:pPr>
              <w:spacing w:line="276" w:lineRule="auto"/>
              <w:rPr>
                <w:rFonts w:eastAsia="Times New Roman" w:cstheme="minorHAnsi"/>
                <w:i/>
                <w:color w:val="000000"/>
                <w:sz w:val="22"/>
                <w:szCs w:val="22"/>
              </w:rPr>
            </w:pPr>
            <w:r w:rsidRPr="00E009F4">
              <w:rPr>
                <w:rFonts w:eastAsia="Times New Roman" w:cstheme="minorHAnsi"/>
                <w:i/>
                <w:color w:val="000000"/>
                <w:sz w:val="22"/>
                <w:szCs w:val="22"/>
              </w:rPr>
              <w:t xml:space="preserve">Published </w:t>
            </w:r>
            <w:r w:rsidR="00660A7A" w:rsidRPr="00E009F4">
              <w:rPr>
                <w:rFonts w:eastAsia="Times New Roman" w:cstheme="minorHAnsi"/>
                <w:i/>
                <w:color w:val="000000"/>
                <w:sz w:val="22"/>
                <w:szCs w:val="22"/>
              </w:rPr>
              <w:t>EQ5D</w:t>
            </w:r>
            <w:r w:rsidRPr="00E009F4">
              <w:rPr>
                <w:rFonts w:eastAsia="Times New Roman" w:cstheme="minorHAnsi"/>
                <w:i/>
                <w:color w:val="000000"/>
                <w:sz w:val="22"/>
                <w:szCs w:val="22"/>
              </w:rPr>
              <w:t xml:space="preserve"> utility score</w:t>
            </w:r>
            <w:r w:rsidR="00660A7A" w:rsidRPr="00E009F4">
              <w:rPr>
                <w:rFonts w:eastAsia="Times New Roman" w:cstheme="minorHAnsi"/>
                <w:i/>
                <w:color w:val="000000"/>
                <w:sz w:val="22"/>
                <w:szCs w:val="22"/>
              </w:rPr>
              <w:t xml:space="preserve"> range</w:t>
            </w:r>
          </w:p>
        </w:tc>
        <w:tc>
          <w:tcPr>
            <w:tcW w:w="775" w:type="pct"/>
            <w:tcBorders>
              <w:top w:val="nil"/>
              <w:left w:val="nil"/>
              <w:bottom w:val="single" w:sz="4" w:space="0" w:color="auto"/>
              <w:right w:val="nil"/>
            </w:tcBorders>
          </w:tcPr>
          <w:p w14:paraId="1D55C55C" w14:textId="6A521E00" w:rsidR="00660A7A" w:rsidRPr="00E009F4" w:rsidRDefault="00660A7A" w:rsidP="00E009F4">
            <w:pPr>
              <w:spacing w:line="276" w:lineRule="auto"/>
              <w:rPr>
                <w:rFonts w:eastAsia="Times New Roman" w:cstheme="minorHAnsi"/>
                <w:i/>
                <w:color w:val="000000"/>
                <w:sz w:val="22"/>
                <w:szCs w:val="22"/>
              </w:rPr>
            </w:pPr>
            <w:r w:rsidRPr="00E009F4">
              <w:rPr>
                <w:rFonts w:eastAsia="Times New Roman" w:cstheme="minorHAnsi"/>
                <w:i/>
                <w:color w:val="000000"/>
                <w:sz w:val="22"/>
                <w:szCs w:val="22"/>
              </w:rPr>
              <w:t>Notes</w:t>
            </w:r>
          </w:p>
        </w:tc>
        <w:tc>
          <w:tcPr>
            <w:tcW w:w="633" w:type="pct"/>
            <w:tcBorders>
              <w:top w:val="nil"/>
              <w:left w:val="nil"/>
              <w:bottom w:val="single" w:sz="4" w:space="0" w:color="auto"/>
              <w:right w:val="nil"/>
            </w:tcBorders>
          </w:tcPr>
          <w:p w14:paraId="7E8123A0" w14:textId="58DE395E" w:rsidR="00660A7A" w:rsidRPr="00E009F4" w:rsidRDefault="00D2017C" w:rsidP="00E009F4">
            <w:pPr>
              <w:spacing w:line="276" w:lineRule="auto"/>
              <w:rPr>
                <w:rFonts w:eastAsia="Times New Roman" w:cstheme="minorHAnsi"/>
                <w:i/>
                <w:color w:val="000000"/>
                <w:sz w:val="22"/>
                <w:szCs w:val="22"/>
              </w:rPr>
            </w:pPr>
            <w:r w:rsidRPr="00E009F4">
              <w:rPr>
                <w:rFonts w:eastAsia="Times New Roman" w:cstheme="minorHAnsi"/>
                <w:i/>
                <w:color w:val="000000"/>
                <w:sz w:val="22"/>
                <w:szCs w:val="22"/>
              </w:rPr>
              <w:t>Observed</w:t>
            </w:r>
          </w:p>
          <w:p w14:paraId="1A930BE6" w14:textId="58C7665F" w:rsidR="00660A7A" w:rsidRPr="00E009F4" w:rsidRDefault="00660A7A" w:rsidP="00E009F4">
            <w:pPr>
              <w:spacing w:line="276" w:lineRule="auto"/>
              <w:rPr>
                <w:rFonts w:eastAsia="Times New Roman" w:cstheme="minorHAnsi"/>
                <w:i/>
                <w:color w:val="000000"/>
                <w:sz w:val="22"/>
                <w:szCs w:val="22"/>
              </w:rPr>
            </w:pPr>
            <w:r w:rsidRPr="00E009F4">
              <w:rPr>
                <w:rFonts w:eastAsia="Times New Roman" w:cstheme="minorHAnsi"/>
                <w:i/>
                <w:color w:val="000000"/>
                <w:sz w:val="22"/>
                <w:szCs w:val="22"/>
              </w:rPr>
              <w:t>EQ5D</w:t>
            </w:r>
            <w:r w:rsidR="00D2017C" w:rsidRPr="00E009F4">
              <w:rPr>
                <w:rFonts w:eastAsia="Times New Roman" w:cstheme="minorHAnsi"/>
                <w:i/>
                <w:color w:val="000000"/>
                <w:sz w:val="22"/>
                <w:szCs w:val="22"/>
              </w:rPr>
              <w:t xml:space="preserve"> utility score</w:t>
            </w:r>
            <w:r w:rsidRPr="00E009F4">
              <w:rPr>
                <w:rFonts w:eastAsia="Times New Roman" w:cstheme="minorHAnsi"/>
                <w:i/>
                <w:color w:val="000000"/>
                <w:sz w:val="22"/>
                <w:szCs w:val="22"/>
              </w:rPr>
              <w:t xml:space="preserve"> in</w:t>
            </w:r>
            <w:r w:rsidR="00D2017C" w:rsidRPr="00E009F4">
              <w:rPr>
                <w:rFonts w:eastAsia="Times New Roman" w:cstheme="minorHAnsi"/>
                <w:i/>
                <w:color w:val="000000"/>
                <w:sz w:val="22"/>
                <w:szCs w:val="22"/>
              </w:rPr>
              <w:t xml:space="preserve"> </w:t>
            </w:r>
            <w:r w:rsidRPr="00E009F4">
              <w:rPr>
                <w:rFonts w:eastAsia="Times New Roman" w:cstheme="minorHAnsi"/>
                <w:i/>
                <w:color w:val="000000"/>
                <w:sz w:val="22"/>
                <w:szCs w:val="22"/>
              </w:rPr>
              <w:t>study</w:t>
            </w:r>
            <w:r w:rsidR="00002792" w:rsidRPr="00E009F4">
              <w:rPr>
                <w:rFonts w:eastAsia="Times New Roman" w:cstheme="minorHAnsi"/>
                <w:i/>
                <w:color w:val="000000"/>
                <w:sz w:val="22"/>
                <w:szCs w:val="22"/>
              </w:rPr>
              <w:t xml:space="preserve"> (baseline – follow-up)</w:t>
            </w:r>
          </w:p>
        </w:tc>
      </w:tr>
      <w:tr w:rsidR="00660A7A" w:rsidRPr="00E009F4" w14:paraId="5374F9B9" w14:textId="77777777" w:rsidTr="00E009F4">
        <w:trPr>
          <w:trHeight w:val="1500"/>
        </w:trPr>
        <w:tc>
          <w:tcPr>
            <w:tcW w:w="2196" w:type="pct"/>
            <w:vMerge w:val="restart"/>
            <w:tcBorders>
              <w:top w:val="single" w:sz="4" w:space="0" w:color="auto"/>
              <w:left w:val="nil"/>
              <w:right w:val="single" w:sz="4" w:space="0" w:color="auto"/>
            </w:tcBorders>
            <w:vAlign w:val="center"/>
          </w:tcPr>
          <w:p w14:paraId="1D3685CE" w14:textId="77777777" w:rsidR="00660A7A" w:rsidRPr="00E009F4" w:rsidRDefault="00660A7A" w:rsidP="00E009F4">
            <w:pPr>
              <w:spacing w:line="276" w:lineRule="auto"/>
              <w:rPr>
                <w:rFonts w:cstheme="minorHAnsi"/>
                <w:noProof/>
                <w:sz w:val="22"/>
                <w:szCs w:val="22"/>
              </w:rPr>
            </w:pPr>
            <w:r w:rsidRPr="00E009F4">
              <w:rPr>
                <w:rFonts w:cstheme="minorHAnsi"/>
                <w:noProof/>
                <w:sz w:val="22"/>
                <w:szCs w:val="22"/>
              </w:rPr>
              <w:t>To create adjusted EQ5D scores for a range of difference cancer types in UK (Pickard et al., 2016).</w:t>
            </w:r>
          </w:p>
          <w:p w14:paraId="4FB7F080" w14:textId="77777777" w:rsidR="00660A7A" w:rsidRPr="00E009F4" w:rsidRDefault="00660A7A" w:rsidP="00E009F4">
            <w:pPr>
              <w:spacing w:line="276" w:lineRule="auto"/>
              <w:rPr>
                <w:rFonts w:cstheme="minorHAnsi"/>
                <w:noProof/>
                <w:sz w:val="22"/>
                <w:szCs w:val="22"/>
              </w:rPr>
            </w:pPr>
            <w:r w:rsidRPr="00E009F4">
              <w:rPr>
                <w:rFonts w:cstheme="minorHAnsi"/>
                <w:noProof/>
                <w:sz w:val="22"/>
                <w:szCs w:val="22"/>
              </w:rPr>
              <w:t xml:space="preserve"> </w:t>
            </w:r>
          </w:p>
          <w:p w14:paraId="5E922EF9" w14:textId="77777777" w:rsidR="00660A7A" w:rsidRPr="00E009F4" w:rsidRDefault="00660A7A" w:rsidP="00E009F4">
            <w:pPr>
              <w:spacing w:line="276" w:lineRule="auto"/>
              <w:rPr>
                <w:rFonts w:cstheme="minorHAnsi"/>
                <w:sz w:val="22"/>
                <w:szCs w:val="22"/>
              </w:rPr>
            </w:pPr>
            <w:r w:rsidRPr="00E009F4">
              <w:rPr>
                <w:rFonts w:cstheme="minorHAnsi"/>
                <w:noProof/>
                <w:sz w:val="22"/>
                <w:szCs w:val="22"/>
              </w:rPr>
              <w:t>Describe different EQ5D scores associated with different treatment stages (</w:t>
            </w:r>
            <w:r w:rsidRPr="00E009F4">
              <w:rPr>
                <w:rFonts w:cstheme="minorHAnsi"/>
                <w:i/>
                <w:sz w:val="22"/>
                <w:szCs w:val="22"/>
              </w:rPr>
              <w:fldChar w:fldCharType="begin" w:fldLock="1"/>
            </w:r>
            <w:r w:rsidRPr="00E009F4">
              <w:rPr>
                <w:rFonts w:cstheme="minorHAnsi"/>
                <w:i/>
                <w:sz w:val="22"/>
                <w:szCs w:val="22"/>
              </w:rPr>
              <w:instrText>ADDIN CSL_CITATION {"citationItems":[{"id":"ITEM-1","itemData":{"DOI":"10.1007/s11136-007-9202-8","ISSN":"09629343","abstract":"Objectives The aim of this study was to describe the health related quality of life (HRQoL) in different breast cancer disease states using preference-based measures. Material and Methods A total of 361 consecutive breast cancer patients attending the breast cancer outpatient clinic at Karolinska University hospital Solna for outpatient visits between April and May 2005 were included in the study. The EQ-5D self classifier and a direct Time Trade Off (TTO) question were used to estimate the HRQoL in different breast cancer disease states. Results Patients in their first year after a primary breast cancer had a mean EQ-5D index value of 0.696 (95% confidence interval (CI): 0.634—0.747)). Patients in their first year after a recurrence had a mean EQ-5D index value of 0.779 (CI: 0.700—0.849). Patients who had not had a primary breast cancer diagnosis or a recurrence during the previous year had a mean EQ-5D index value of 0.779 (CI: 0.745—0.811). Patients with metastatic disease reported the lowest HRQoL values, and had a mean EQ-5D index value of 0.685 (CI: 0.620—0.735). The main driver behind the reduction in HRQoL was pain and discomfort as well as anxiety and depression. TTO values were higher for all diseases states compared to the EQ-5D index values. Conclusion This study shows that breast cancer is associated with a reduction in HRQoL. This effect is most pronounced for patients with metastatic disease.","author":[{"dropping-particle":"","family":"Lidgren","given":"Mathias","non-dropping-particle":"","parse-names":false,"suffix":""},{"dropping-particle":"","family":"Wilking","given":"Nils","non-dropping-particle":"","parse-names":false,"suffix":""},{"dropping-particle":"","family":"Jönsson","given":"Bengt","non-dropping-particle":"","parse-names":false,"suffix":""},{"dropping-particle":"","family":"Rehnberg","given":"Clas","non-dropping-particle":"","parse-names":false,"suffix":""}],"container-title":"Quality of Life Research","id":"ITEM-1","issue":"6","issued":{"date-parts":[["2007"]]},"page":"1073-1081","title":"Health related quality of life in different states of breast cancer","type":"article-journal","volume":"16"},"uris":["http://www.mendeley.com/documents/?uuid=6af31236-a592-38fb-90f4-730f9950285a"]}],"mendeley":{"formattedCitation":"(17)","manualFormatting":"Lidgren, Wilking, Jönsson, &amp; Rehnberg, 2007","plainTextFormattedCitation":"(17)","previouslyFormattedCitation":"(17)"},"properties":{"noteIndex":0},"schema":"https://github.com/citation-style-language/schema/raw/master/csl-citation.json"}</w:instrText>
            </w:r>
            <w:r w:rsidRPr="00E009F4">
              <w:rPr>
                <w:rFonts w:cstheme="minorHAnsi"/>
                <w:i/>
                <w:sz w:val="22"/>
                <w:szCs w:val="22"/>
              </w:rPr>
              <w:fldChar w:fldCharType="separate"/>
            </w:r>
            <w:r w:rsidRPr="00E009F4">
              <w:rPr>
                <w:rFonts w:cstheme="minorHAnsi"/>
                <w:noProof/>
                <w:sz w:val="22"/>
                <w:szCs w:val="22"/>
              </w:rPr>
              <w:t>Lidgren, Wilking, Jönsson, &amp; Rehnberg, 2007</w:t>
            </w:r>
            <w:r w:rsidRPr="00E009F4">
              <w:rPr>
                <w:rFonts w:cstheme="minorHAnsi"/>
                <w:i/>
                <w:sz w:val="22"/>
                <w:szCs w:val="22"/>
              </w:rPr>
              <w:fldChar w:fldCharType="end"/>
            </w:r>
            <w:r w:rsidRPr="00E009F4">
              <w:rPr>
                <w:rFonts w:cstheme="minorHAnsi"/>
                <w:sz w:val="22"/>
                <w:szCs w:val="22"/>
              </w:rPr>
              <w:t>).</w:t>
            </w:r>
          </w:p>
          <w:p w14:paraId="2920E372" w14:textId="77777777" w:rsidR="00660A7A" w:rsidRPr="00E009F4" w:rsidRDefault="00660A7A" w:rsidP="00E009F4">
            <w:pPr>
              <w:spacing w:line="276" w:lineRule="auto"/>
              <w:rPr>
                <w:rFonts w:cstheme="minorHAnsi"/>
                <w:noProof/>
                <w:sz w:val="22"/>
                <w:szCs w:val="22"/>
              </w:rPr>
            </w:pPr>
          </w:p>
          <w:p w14:paraId="6DC24FD9" w14:textId="77777777" w:rsidR="00660A7A" w:rsidRPr="00E009F4" w:rsidRDefault="00660A7A" w:rsidP="00E009F4">
            <w:pPr>
              <w:spacing w:line="276" w:lineRule="auto"/>
              <w:rPr>
                <w:rFonts w:cstheme="minorHAnsi"/>
                <w:noProof/>
                <w:sz w:val="22"/>
                <w:szCs w:val="22"/>
              </w:rPr>
            </w:pPr>
            <w:r w:rsidRPr="00E009F4">
              <w:rPr>
                <w:rFonts w:cstheme="minorHAnsi"/>
                <w:noProof/>
                <w:sz w:val="22"/>
                <w:szCs w:val="22"/>
              </w:rPr>
              <w:t>Systematic review of 57 papers examining range of EQ5D scores in a wide range of cancer types (</w:t>
            </w:r>
            <w:r w:rsidRPr="00E009F4">
              <w:rPr>
                <w:rFonts w:cstheme="minorHAnsi"/>
                <w:sz w:val="22"/>
                <w:szCs w:val="22"/>
              </w:rPr>
              <w:t>Pickard et al, 2007)</w:t>
            </w:r>
          </w:p>
          <w:p w14:paraId="527E23F4" w14:textId="77777777" w:rsidR="00660A7A" w:rsidRPr="00E009F4" w:rsidRDefault="00660A7A" w:rsidP="00E009F4">
            <w:pPr>
              <w:spacing w:line="276" w:lineRule="auto"/>
              <w:rPr>
                <w:rFonts w:cstheme="minorHAnsi"/>
                <w:noProof/>
                <w:sz w:val="22"/>
                <w:szCs w:val="22"/>
              </w:rPr>
            </w:pPr>
          </w:p>
          <w:p w14:paraId="4C3625AD" w14:textId="77777777" w:rsidR="00660A7A" w:rsidRPr="00E009F4" w:rsidRDefault="00660A7A" w:rsidP="00E009F4">
            <w:pPr>
              <w:spacing w:line="276" w:lineRule="auto"/>
              <w:rPr>
                <w:rFonts w:cstheme="minorHAnsi"/>
                <w:noProof/>
                <w:sz w:val="22"/>
                <w:szCs w:val="22"/>
              </w:rPr>
            </w:pPr>
            <w:r w:rsidRPr="00E009F4">
              <w:rPr>
                <w:rFonts w:cstheme="minorHAnsi"/>
                <w:noProof/>
                <w:sz w:val="22"/>
                <w:szCs w:val="22"/>
              </w:rPr>
              <w:t>Examine impact of various treatments on metastatic breast cancer, measured with EQ5D (</w:t>
            </w:r>
            <w:r w:rsidRPr="00E009F4">
              <w:rPr>
                <w:rFonts w:cstheme="minorHAnsi"/>
                <w:i/>
                <w:sz w:val="22"/>
                <w:szCs w:val="22"/>
              </w:rPr>
              <w:fldChar w:fldCharType="begin" w:fldLock="1"/>
            </w:r>
            <w:r w:rsidRPr="00E009F4">
              <w:rPr>
                <w:rFonts w:cstheme="minorHAnsi"/>
                <w:i/>
                <w:sz w:val="22"/>
                <w:szCs w:val="22"/>
              </w:rPr>
              <w:instrText>ADDIN CSL_CITATION {"citationItems":[{"id":"ITEM-1","itemData":{"DOI":"10.1007/s11136-016-1388-1","ISSN":"15732649","abstract":"© 2016, The Author(s). Purpose: The goal of chemotherapy for metastatic breast cancer (MBC) is to prolong survival and maintain health-related quality of life. This study aimed to evaluate long-term health status of patients with MBC who participated in the phase III randomized SELECT BC trial. Methods: In the SELECT BC trial, patients were randomly allocated to the S-1 or taxane (paclitaxel or docetaxel) arm. Health status was assessed by EQ-5D at pre-treatment, 3 and 6 months after randomization, and every 6 months thereafter to the extent possible. Least square mean scores were assessed to compare EQ-5D index values between groups. Time to deterioration analysis was also performed by defining the minimally important difference of EQ-5D as 0.05 or 0.1. Results: The number of patients for EQ-5D analysis was 175 and 208 in the taxane and S-1 arms, respectively. Least square mean EQ-5D index values up to 60 months were 0.741 (95 % CI [0.713–0.769]) in the taxane arm and 0.748 [0.722–0.775]  in the S-1 arm. The EQ-5D index value during PFS up to 12 months in the S-1 was superior to the corresponding index value in the taxane (0.812 [0.789–0.834] vs. 0.772 [0.751–0.792] , P = 0.009). Time to deterioration analysis also revealed that S-1 significantly delayed the deterioration of EQ-5D index value during the period before progression (P = 0.002 and 0.003). Conclusions: Our findings suggest that the EQ-5D index value was higher in patients treated with S-1 during first-line chemotherapy. Considering non-inferiority of S-1 in terms of OS, obtained quality-adjusted life years may be greater in the S-1 arm.","author":[{"dropping-particle":"","family":"Shiroiwa","given":"T.","non-dropping-particle":"","parse-names":false,"suffix":""},{"dropping-particle":"","family":"Fukuda","given":"T.","non-dropping-particle":"","parse-names":false,"suffix":""},{"dropping-particle":"","family":"Shimozuma","given":"K.","non-dropping-particle":"","parse-names":false,"suffix":""},{"dropping-particle":"","family":"Mouri","given":"M.","non-dropping-particle":"","parse-names":false,"suffix":""},{"dropping-particle":"","family":"Hagiwara","given":"Y.","non-dropping-particle":"","parse-names":false,"suffix":""},{"dropping-particle":"","family":"Doihara","given":"H.","non-dropping-particle":"","parse-names":false,"suffix":""},{"dropping-particle":"","family":"Akabane","given":"H.","non-dropping-particle":"","parse-names":false,"suffix":""},{"dropping-particle":"","family":"Kashiwaba","given":"M.","non-dropping-particle":"","parse-names":false,"suffix":""},{"dropping-particle":"","family":"Watanabe","given":"T.","non-dropping-particle":"","parse-names":false,"suffix":""},{"dropping-particle":"","family":"Ohashi","given":"Y.","non-dropping-particle":"","parse-names":false,"suffix":""},{"dropping-particle":"","family":"Mukai","given":"H.","non-dropping-particle":"","parse-names":false,"suffix":""}],"container-title":"Quality of Life Research","id":"ITEM-1","issue":"2","issued":{"date-parts":[["2017"]]},"page":"445-453","publisher":"Springer International Publishing","title":"Long-term health status as measured by EQ-5D among patients with metastatic breast cancer: comparison of first-line oral S-1 and taxane therapies in the randomized phase III SELECT BC trial","type":"article-journal","volume":"26"},"uris":["http://www.mendeley.com/documents/?uuid=703660a0-5592-46a8-a766-19e3c7670831"]}],"mendeley":{"formattedCitation":"(18)","manualFormatting":"Shiroiwa et al., 2017","plainTextFormattedCitation":"(18)","previouslyFormattedCitation":"(18)"},"properties":{"noteIndex":0},"schema":"https://github.com/citation-style-language/schema/raw/master/csl-citation.json"}</w:instrText>
            </w:r>
            <w:r w:rsidRPr="00E009F4">
              <w:rPr>
                <w:rFonts w:cstheme="minorHAnsi"/>
                <w:i/>
                <w:sz w:val="22"/>
                <w:szCs w:val="22"/>
              </w:rPr>
              <w:fldChar w:fldCharType="separate"/>
            </w:r>
            <w:r w:rsidRPr="00E009F4">
              <w:rPr>
                <w:rFonts w:cstheme="minorHAnsi"/>
                <w:noProof/>
                <w:sz w:val="22"/>
                <w:szCs w:val="22"/>
              </w:rPr>
              <w:t>Shiroiwa et al., 2017</w:t>
            </w:r>
            <w:r w:rsidRPr="00E009F4">
              <w:rPr>
                <w:rFonts w:cstheme="minorHAnsi"/>
                <w:i/>
                <w:sz w:val="22"/>
                <w:szCs w:val="22"/>
              </w:rPr>
              <w:fldChar w:fldCharType="end"/>
            </w:r>
            <w:r w:rsidRPr="00E009F4">
              <w:rPr>
                <w:rFonts w:cstheme="minorHAnsi"/>
                <w:i/>
                <w:sz w:val="22"/>
                <w:szCs w:val="22"/>
              </w:rPr>
              <w:t xml:space="preserve">; </w:t>
            </w:r>
            <w:r w:rsidRPr="00E009F4">
              <w:rPr>
                <w:rFonts w:cstheme="minorHAnsi"/>
                <w:i/>
                <w:sz w:val="22"/>
                <w:szCs w:val="22"/>
              </w:rPr>
              <w:fldChar w:fldCharType="begin" w:fldLock="1"/>
            </w:r>
            <w:r w:rsidRPr="00E009F4">
              <w:rPr>
                <w:rFonts w:cstheme="minorHAnsi"/>
                <w:i/>
                <w:sz w:val="22"/>
                <w:szCs w:val="22"/>
              </w:rPr>
              <w:instrText>ADDIN CSL_CITATION {"citationItems":[{"id":"ITEM-1","itemData":{"DOI":"10.1007/s11136-013-0562-y","ISSN":"15732649","abstract":"PURPOSE: To explore end-stage breast, prostate, and colorectal cancer patients' health-related quality of life (HRQoL); to compare results obtained by different HRQoL instruments; and to explore factors related to impaired HRQoL.\\n\\nMETHODS: A cross-sectional observational study utilized two generic HRQoL instruments, the 15D and the EQ-5D, and a cancer-specific instrument, the EORTC QLQ-C30. Patients were recruited from the Helsinki University Hospital's Department of Oncology and from a local hospice.\\n\\nRESULTS: Of the 114 palliative care patients included in the analysis, 27 had breast cancer, 30 had prostate cancer, and 57 had colorectal cancer. Of these, 28 % died within 3 months after their response, while 32 % died within three to 6 months, and 39 % died more than 6 months after. Utility values varied widely by instrument: the 15D gave the highest utility values and VAS the lowest (15D: 0.74, EQ-5D: 0.59 and VAS: 55). Patients close to death had lower HRQoL scores independently from the instrument used. The EQ-5D showed a pronounced ceiling effect, with 13 % of patients reporting full health, whereas the corresponding figures for the 15D and VAS were 1 and 0 %, respectively. Fatigue was the most common symptom and also predicted impaired HRQoL most significantly.\\n\\nCONCLUSIONS: All instruments were applicable for the evaluation of HRQoL among end-stage cancer patients. Fatigue seemed to be the most significant deteriorating factor, whereas clinical and demographic factors had less of an effect on HRQoL.","author":[{"dropping-particle":"","family":"Färkkilä","given":"Niilo","non-dropping-particle":"","parse-names":false,"suffix":""},{"dropping-particle":"","family":"Torvinen","given":"Saku","non-dropping-particle":"","parse-names":false,"suffix":""},{"dropping-particle":"","family":"Roine","given":"Risto P.","non-dropping-particle":"","parse-names":false,"suffix":""},{"dropping-particle":"","family":"Sintonen","given":"Harri","non-dropping-particle":"","parse-names":false,"suffix":""},{"dropping-particle":"","family":"Hänninen","given":"Juha","non-dropping-particle":"","parse-names":false,"suffix":""},{"dropping-particle":"","family":"Taari","given":"Kimmo","non-dropping-particle":"","parse-names":false,"suffix":""},{"dropping-particle":"","family":"Saarto","given":"Tiina","non-dropping-particle":"","parse-names":false,"suffix":""}],"container-title":"Quality of life research : an international journal of quality of life aspects of treatment, care and rehabilitation","id":"ITEM-1","issue":"4","issued":{"date-parts":[["2014"]]},"page":"1387-1394","title":"Health-related quality of life among breast, prostate, and colorectal cancer patients with end-stage disease.","type":"article-journal","volume":"23"},"uris":["http://www.mendeley.com/documents/?uuid=c4a5534b-0bf6-4750-bf27-c7ec5ebc6bea"]}],"mendeley":{"formattedCitation":"(19)","manualFormatting":"Färkkilä et al., 2014; Pottel et al., 2015)","plainTextFormattedCitation":"(19)","previouslyFormattedCitation":"(19)"},"properties":{"noteIndex":0},"schema":"https://github.com/citation-style-language/schema/raw/master/csl-citation.json"}</w:instrText>
            </w:r>
            <w:r w:rsidRPr="00E009F4">
              <w:rPr>
                <w:rFonts w:cstheme="minorHAnsi"/>
                <w:i/>
                <w:sz w:val="22"/>
                <w:szCs w:val="22"/>
              </w:rPr>
              <w:fldChar w:fldCharType="separate"/>
            </w:r>
            <w:r w:rsidRPr="00E009F4">
              <w:rPr>
                <w:rFonts w:cstheme="minorHAnsi"/>
                <w:noProof/>
                <w:sz w:val="22"/>
                <w:szCs w:val="22"/>
              </w:rPr>
              <w:t>Färkkilä et al., 2014; Pottel et al., 2015)</w:t>
            </w:r>
            <w:r w:rsidRPr="00E009F4">
              <w:rPr>
                <w:rFonts w:cstheme="minorHAnsi"/>
                <w:i/>
                <w:sz w:val="22"/>
                <w:szCs w:val="22"/>
              </w:rPr>
              <w:fldChar w:fldCharType="end"/>
            </w:r>
          </w:p>
          <w:p w14:paraId="5450361D" w14:textId="77777777" w:rsidR="00660A7A" w:rsidRPr="00E009F4" w:rsidRDefault="00660A7A" w:rsidP="00E009F4">
            <w:pPr>
              <w:spacing w:line="276" w:lineRule="auto"/>
              <w:rPr>
                <w:rFonts w:cstheme="minorHAnsi"/>
                <w:noProof/>
                <w:sz w:val="22"/>
                <w:szCs w:val="22"/>
              </w:rPr>
            </w:pPr>
          </w:p>
          <w:p w14:paraId="2438CF54" w14:textId="77777777" w:rsidR="00660A7A" w:rsidRPr="00E009F4" w:rsidRDefault="00660A7A" w:rsidP="00E009F4">
            <w:pPr>
              <w:spacing w:line="276" w:lineRule="auto"/>
              <w:rPr>
                <w:rFonts w:cstheme="minorHAnsi"/>
                <w:noProof/>
                <w:sz w:val="22"/>
                <w:szCs w:val="22"/>
              </w:rPr>
            </w:pPr>
            <w:r w:rsidRPr="00E009F4">
              <w:rPr>
                <w:rFonts w:cstheme="minorHAnsi"/>
                <w:noProof/>
                <w:sz w:val="22"/>
                <w:szCs w:val="22"/>
              </w:rPr>
              <w:t>To assess the validity of health utility measures in Head and Neck Cancers (Noel et al., 2015)</w:t>
            </w:r>
          </w:p>
          <w:p w14:paraId="3276865C" w14:textId="77777777" w:rsidR="00660A7A" w:rsidRPr="00E009F4" w:rsidRDefault="00660A7A" w:rsidP="00E009F4">
            <w:pPr>
              <w:spacing w:line="276" w:lineRule="auto"/>
              <w:rPr>
                <w:rFonts w:cstheme="minorHAnsi"/>
                <w:noProof/>
                <w:sz w:val="22"/>
                <w:szCs w:val="22"/>
              </w:rPr>
            </w:pPr>
          </w:p>
          <w:p w14:paraId="7F07EAA2" w14:textId="1F52EB27" w:rsidR="00660A7A" w:rsidRPr="00E009F4" w:rsidRDefault="00660A7A" w:rsidP="00E009F4">
            <w:pPr>
              <w:spacing w:line="276" w:lineRule="auto"/>
              <w:rPr>
                <w:rFonts w:eastAsia="Times New Roman" w:cstheme="minorHAnsi"/>
                <w:color w:val="000000"/>
                <w:sz w:val="22"/>
                <w:szCs w:val="22"/>
              </w:rPr>
            </w:pPr>
            <w:r w:rsidRPr="00E009F4">
              <w:rPr>
                <w:rFonts w:cstheme="minorHAnsi"/>
                <w:sz w:val="22"/>
                <w:szCs w:val="22"/>
              </w:rPr>
              <w:t>Systematic review of health state utility values in metastatic lung cancer with a focus on previously treated patients</w:t>
            </w:r>
            <w:r w:rsidRPr="00E009F4">
              <w:rPr>
                <w:rFonts w:cstheme="minorHAnsi"/>
                <w:noProof/>
                <w:sz w:val="22"/>
                <w:szCs w:val="22"/>
              </w:rPr>
              <w:t xml:space="preserve"> (</w:t>
            </w:r>
            <w:r w:rsidRPr="00E009F4">
              <w:rPr>
                <w:rFonts w:cstheme="minorHAnsi"/>
                <w:noProof/>
                <w:sz w:val="22"/>
                <w:szCs w:val="22"/>
              </w:rPr>
              <w:fldChar w:fldCharType="begin" w:fldLock="1"/>
            </w:r>
            <w:r w:rsidRPr="00E009F4">
              <w:rPr>
                <w:rFonts w:cstheme="minorHAnsi"/>
                <w:noProof/>
                <w:sz w:val="22"/>
                <w:szCs w:val="22"/>
              </w:rPr>
              <w:instrText>ADDIN CSL_CITATION {"citationItems":[{"id":"ITEM-1","itemData":{"DOI":"10.1186/s12955-018-0994-8","ISSN":"1477-7525","abstract":"Background: Health state utility values (HSUVs) are an important input to economic evaluations and the choice of HSUV can affect the estimate of relative cost-effectiveness between interventions. This systematic review identified utility scores for patients with metastatic non-small cell lung cancer (mNSCLC), as well as disutilities or utility decrements relevant to the experience of patients with mNSCLC, by treatment line and health state. Methods: The MEDLINE®, Embase and Cochrane Library databases were systematically searched (September 2016) for publications describing HSUVs in mNSCLC in any treatment line. The EQ-5D website, the School of Health and Related Research Health Utilities Database (ScHARRHUD) and major pharmacoeconomic and clinical conferences in 2015-2016 were also queried. Studies in adults with previously treated mNSCLC were selected for further analysis. The information extracted included study design, description of treatment and health state, respondent details, instrument and tariff, HSUV or (dis) utility decrement estimates, quality of study, and appropriateness for use in economic evaluations. Results: Of 1883 references identified, 36 publications of 34 studies were included: 19 reported EQ-5D scores; eight reported HSUVs from valuations of vignettes made by members of the public using standard gamble (SG) or time trade-off (TTO); two reported SG or TTO directly elicited from patients; two reported EQ-5D visual analogue scale scores only; one reported Assessment of Quality of Life instrument scores; one reported HSUVs for caregivers to patients with mNSCLC using the 12-item Short-Form Health Survey; and one estimated HSUVs based on expert opinion. The range of HSUVs identified for comparable health states showed how differences in study type, tariff, health state and the measures used can drive variation in HSUV estimates. Conclusions: This systematic review provides a set of published HSUVs that are relevant to the experience of adult patients previously treated for mNSCLC. Our review begins to address the challenge of identifying reliable estimates of utility values in mNSCLC that are suitable for use in economic evaluations, and also highlights how varying estimates result from differences in methodology.","author":[{"dropping-particle":"","family":"Paracha","given":"N.","non-dropping-particle":"","parse-names":false,"suffix":""},{"dropping-particle":"","family":"Abdulla","given":"A.","non-dropping-particle":"","parse-names":false,"suffix":""},{"dropping-particle":"","family":"MacGilchrist","given":"M","non-dropping-particle":"","parse-names":false,"suffix":""}],"container-title":"Health and Quality of Life Outcomes","id":"ITEM-1","issue":"1","issued":{"date-parts":[["2018"]]},"publisher":"Health and Quality of Life Outcomes","title":"Systematic review of health state utility values in metastatic non-small cell lung cancer with a focus on previously treated patients","type":"article-journal","volume":"16"},"uris":["http://www.mendeley.com/documents/?uuid=d186aa4b-d43a-4429-9f86-8cbe207ca0a7"]}],"mendeley":{"formattedCitation":"(20)","manualFormatting":"Paracha et al, 2018","plainTextFormattedCitation":"(20)","previouslyFormattedCitation":"(20)"},"properties":{"noteIndex":0},"schema":"https://github.com/citation-style-language/schema/raw/master/csl-citation.json"}</w:instrText>
            </w:r>
            <w:r w:rsidRPr="00E009F4">
              <w:rPr>
                <w:rFonts w:cstheme="minorHAnsi"/>
                <w:noProof/>
                <w:sz w:val="22"/>
                <w:szCs w:val="22"/>
              </w:rPr>
              <w:fldChar w:fldCharType="separate"/>
            </w:r>
            <w:r w:rsidRPr="00E009F4">
              <w:rPr>
                <w:rFonts w:cstheme="minorHAnsi"/>
                <w:noProof/>
                <w:sz w:val="22"/>
                <w:szCs w:val="22"/>
              </w:rPr>
              <w:t>Paracha et al, 2018</w:t>
            </w:r>
            <w:r w:rsidRPr="00E009F4">
              <w:rPr>
                <w:rFonts w:cstheme="minorHAnsi"/>
                <w:noProof/>
                <w:sz w:val="22"/>
                <w:szCs w:val="22"/>
              </w:rPr>
              <w:fldChar w:fldCharType="end"/>
            </w:r>
            <w:r w:rsidRPr="00E009F4">
              <w:rPr>
                <w:rFonts w:cstheme="minorHAnsi"/>
                <w:noProof/>
                <w:sz w:val="22"/>
                <w:szCs w:val="22"/>
              </w:rPr>
              <w:t>)</w:t>
            </w:r>
          </w:p>
        </w:tc>
        <w:tc>
          <w:tcPr>
            <w:tcW w:w="762" w:type="pct"/>
            <w:tcBorders>
              <w:top w:val="single" w:sz="4" w:space="0" w:color="auto"/>
              <w:left w:val="single" w:sz="4" w:space="0" w:color="auto"/>
              <w:right w:val="nil"/>
            </w:tcBorders>
            <w:shd w:val="clear" w:color="auto" w:fill="auto"/>
            <w:noWrap/>
            <w:hideMark/>
          </w:tcPr>
          <w:p w14:paraId="6DC145E8"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Breast</w:t>
            </w:r>
          </w:p>
        </w:tc>
        <w:tc>
          <w:tcPr>
            <w:tcW w:w="634" w:type="pct"/>
            <w:tcBorders>
              <w:top w:val="single" w:sz="4" w:space="0" w:color="auto"/>
              <w:left w:val="nil"/>
              <w:right w:val="nil"/>
            </w:tcBorders>
            <w:shd w:val="clear" w:color="auto" w:fill="auto"/>
            <w:noWrap/>
          </w:tcPr>
          <w:p w14:paraId="2AA3B544"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0.45-0.84</w:t>
            </w:r>
          </w:p>
        </w:tc>
        <w:tc>
          <w:tcPr>
            <w:tcW w:w="775" w:type="pct"/>
            <w:tcBorders>
              <w:top w:val="single" w:sz="4" w:space="0" w:color="auto"/>
              <w:left w:val="nil"/>
              <w:right w:val="nil"/>
            </w:tcBorders>
          </w:tcPr>
          <w:p w14:paraId="656DBF67"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Lower value is metastatic disease. Non-UK studies used UK TTO values</w:t>
            </w:r>
          </w:p>
        </w:tc>
        <w:tc>
          <w:tcPr>
            <w:tcW w:w="633" w:type="pct"/>
            <w:tcBorders>
              <w:top w:val="single" w:sz="4" w:space="0" w:color="auto"/>
              <w:left w:val="nil"/>
              <w:right w:val="nil"/>
            </w:tcBorders>
          </w:tcPr>
          <w:p w14:paraId="3E54BA1F" w14:textId="7268E6BA"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w:t>
            </w:r>
            <w:r w:rsidR="00182212" w:rsidRPr="00E009F4">
              <w:rPr>
                <w:rFonts w:eastAsia="Times New Roman" w:cstheme="minorHAnsi"/>
                <w:color w:val="000000"/>
                <w:sz w:val="22"/>
                <w:szCs w:val="22"/>
              </w:rPr>
              <w:t>50</w:t>
            </w:r>
            <w:r w:rsidRPr="00E009F4">
              <w:rPr>
                <w:rFonts w:eastAsia="Times New Roman" w:cstheme="minorHAnsi"/>
                <w:color w:val="000000"/>
                <w:sz w:val="22"/>
                <w:szCs w:val="22"/>
              </w:rPr>
              <w:t>-0.</w:t>
            </w:r>
            <w:r w:rsidR="00182212" w:rsidRPr="00E009F4">
              <w:rPr>
                <w:rFonts w:eastAsia="Times New Roman" w:cstheme="minorHAnsi"/>
                <w:color w:val="000000"/>
                <w:sz w:val="22"/>
                <w:szCs w:val="22"/>
              </w:rPr>
              <w:t>61</w:t>
            </w:r>
          </w:p>
        </w:tc>
      </w:tr>
      <w:tr w:rsidR="00660A7A" w:rsidRPr="00E009F4" w14:paraId="0EB6DA89" w14:textId="77777777" w:rsidTr="00E009F4">
        <w:trPr>
          <w:trHeight w:val="900"/>
        </w:trPr>
        <w:tc>
          <w:tcPr>
            <w:tcW w:w="2196" w:type="pct"/>
            <w:vMerge/>
            <w:tcBorders>
              <w:left w:val="nil"/>
              <w:right w:val="single" w:sz="4" w:space="0" w:color="auto"/>
            </w:tcBorders>
            <w:vAlign w:val="center"/>
          </w:tcPr>
          <w:p w14:paraId="499D0C77" w14:textId="77777777" w:rsidR="00660A7A" w:rsidRPr="00E009F4" w:rsidRDefault="00660A7A" w:rsidP="00E009F4">
            <w:pPr>
              <w:spacing w:line="276" w:lineRule="auto"/>
              <w:rPr>
                <w:rFonts w:eastAsia="Times New Roman" w:cstheme="minorHAnsi"/>
                <w:color w:val="000000"/>
                <w:sz w:val="22"/>
                <w:szCs w:val="22"/>
              </w:rPr>
            </w:pPr>
          </w:p>
        </w:tc>
        <w:tc>
          <w:tcPr>
            <w:tcW w:w="762" w:type="pct"/>
            <w:tcBorders>
              <w:top w:val="nil"/>
              <w:left w:val="single" w:sz="4" w:space="0" w:color="auto"/>
              <w:right w:val="nil"/>
            </w:tcBorders>
            <w:shd w:val="clear" w:color="auto" w:fill="auto"/>
            <w:noWrap/>
            <w:hideMark/>
          </w:tcPr>
          <w:p w14:paraId="383F21D8" w14:textId="780394CB"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Colorectal</w:t>
            </w:r>
          </w:p>
        </w:tc>
        <w:tc>
          <w:tcPr>
            <w:tcW w:w="634" w:type="pct"/>
            <w:tcBorders>
              <w:top w:val="nil"/>
              <w:left w:val="nil"/>
              <w:right w:val="nil"/>
            </w:tcBorders>
            <w:shd w:val="clear" w:color="auto" w:fill="auto"/>
            <w:noWrap/>
            <w:hideMark/>
          </w:tcPr>
          <w:p w14:paraId="69023FCC"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0.41-0.91</w:t>
            </w:r>
          </w:p>
        </w:tc>
        <w:tc>
          <w:tcPr>
            <w:tcW w:w="775" w:type="pct"/>
            <w:tcBorders>
              <w:top w:val="nil"/>
              <w:left w:val="nil"/>
              <w:right w:val="nil"/>
            </w:tcBorders>
          </w:tcPr>
          <w:p w14:paraId="16565745" w14:textId="77777777" w:rsidR="00660A7A" w:rsidRPr="00E009F4" w:rsidRDefault="00660A7A" w:rsidP="00E009F4">
            <w:pPr>
              <w:spacing w:line="276" w:lineRule="auto"/>
              <w:rPr>
                <w:rFonts w:eastAsia="Times New Roman" w:cstheme="minorHAnsi"/>
                <w:color w:val="000000"/>
                <w:sz w:val="22"/>
                <w:szCs w:val="22"/>
              </w:rPr>
            </w:pPr>
          </w:p>
        </w:tc>
        <w:tc>
          <w:tcPr>
            <w:tcW w:w="633" w:type="pct"/>
            <w:tcBorders>
              <w:top w:val="nil"/>
              <w:left w:val="nil"/>
              <w:right w:val="nil"/>
            </w:tcBorders>
          </w:tcPr>
          <w:p w14:paraId="095EA399" w14:textId="4F6C46A5"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0.4</w:t>
            </w:r>
            <w:r w:rsidR="001B72A9" w:rsidRPr="00E009F4">
              <w:rPr>
                <w:rFonts w:eastAsia="Times New Roman" w:cstheme="minorHAnsi"/>
                <w:color w:val="000000"/>
                <w:sz w:val="22"/>
                <w:szCs w:val="22"/>
              </w:rPr>
              <w:t>8</w:t>
            </w:r>
            <w:r w:rsidRPr="00E009F4">
              <w:rPr>
                <w:rFonts w:eastAsia="Times New Roman" w:cstheme="minorHAnsi"/>
                <w:color w:val="000000"/>
                <w:sz w:val="22"/>
                <w:szCs w:val="22"/>
              </w:rPr>
              <w:t>-0.5</w:t>
            </w:r>
            <w:r w:rsidR="001B72A9" w:rsidRPr="00E009F4">
              <w:rPr>
                <w:rFonts w:eastAsia="Times New Roman" w:cstheme="minorHAnsi"/>
                <w:color w:val="000000"/>
                <w:sz w:val="22"/>
                <w:szCs w:val="22"/>
              </w:rPr>
              <w:t>1</w:t>
            </w:r>
          </w:p>
        </w:tc>
      </w:tr>
      <w:tr w:rsidR="00660A7A" w:rsidRPr="00E009F4" w14:paraId="3CB216CF" w14:textId="77777777" w:rsidTr="00E009F4">
        <w:trPr>
          <w:trHeight w:val="900"/>
        </w:trPr>
        <w:tc>
          <w:tcPr>
            <w:tcW w:w="2196" w:type="pct"/>
            <w:vMerge/>
            <w:tcBorders>
              <w:left w:val="nil"/>
              <w:right w:val="single" w:sz="4" w:space="0" w:color="auto"/>
            </w:tcBorders>
            <w:vAlign w:val="center"/>
          </w:tcPr>
          <w:p w14:paraId="17EA64DB" w14:textId="77777777" w:rsidR="00660A7A" w:rsidRPr="00E009F4" w:rsidRDefault="00660A7A" w:rsidP="00E009F4">
            <w:pPr>
              <w:spacing w:line="276" w:lineRule="auto"/>
              <w:rPr>
                <w:rFonts w:eastAsia="Times New Roman" w:cstheme="minorHAnsi"/>
                <w:color w:val="000000"/>
                <w:sz w:val="22"/>
                <w:szCs w:val="22"/>
              </w:rPr>
            </w:pPr>
          </w:p>
        </w:tc>
        <w:tc>
          <w:tcPr>
            <w:tcW w:w="762" w:type="pct"/>
            <w:tcBorders>
              <w:top w:val="nil"/>
              <w:left w:val="single" w:sz="4" w:space="0" w:color="auto"/>
              <w:right w:val="nil"/>
            </w:tcBorders>
            <w:shd w:val="clear" w:color="auto" w:fill="auto"/>
            <w:noWrap/>
            <w:hideMark/>
          </w:tcPr>
          <w:p w14:paraId="162BEA0C" w14:textId="3C70295B"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Head/neck</w:t>
            </w:r>
          </w:p>
        </w:tc>
        <w:tc>
          <w:tcPr>
            <w:tcW w:w="634" w:type="pct"/>
            <w:tcBorders>
              <w:top w:val="nil"/>
              <w:left w:val="nil"/>
              <w:right w:val="nil"/>
            </w:tcBorders>
            <w:shd w:val="clear" w:color="auto" w:fill="auto"/>
            <w:noWrap/>
            <w:hideMark/>
          </w:tcPr>
          <w:p w14:paraId="2DBE8296"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0.62-0.83</w:t>
            </w:r>
          </w:p>
        </w:tc>
        <w:tc>
          <w:tcPr>
            <w:tcW w:w="775" w:type="pct"/>
            <w:tcBorders>
              <w:top w:val="nil"/>
              <w:left w:val="nil"/>
              <w:right w:val="nil"/>
            </w:tcBorders>
          </w:tcPr>
          <w:p w14:paraId="00A47F20"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Low score represents pre-therapy measure – high is mid therapy</w:t>
            </w:r>
          </w:p>
        </w:tc>
        <w:tc>
          <w:tcPr>
            <w:tcW w:w="633" w:type="pct"/>
            <w:tcBorders>
              <w:top w:val="nil"/>
              <w:left w:val="nil"/>
              <w:right w:val="nil"/>
            </w:tcBorders>
          </w:tcPr>
          <w:p w14:paraId="41AD9ECE" w14:textId="283B3424"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0.5</w:t>
            </w:r>
            <w:r w:rsidR="00E57B6E" w:rsidRPr="00E009F4">
              <w:rPr>
                <w:rFonts w:eastAsia="Times New Roman" w:cstheme="minorHAnsi"/>
                <w:color w:val="000000"/>
                <w:sz w:val="22"/>
                <w:szCs w:val="22"/>
              </w:rPr>
              <w:t>1</w:t>
            </w:r>
            <w:r w:rsidRPr="00E009F4">
              <w:rPr>
                <w:rFonts w:eastAsia="Times New Roman" w:cstheme="minorHAnsi"/>
                <w:color w:val="000000"/>
                <w:sz w:val="22"/>
                <w:szCs w:val="22"/>
              </w:rPr>
              <w:t>-0.6</w:t>
            </w:r>
            <w:r w:rsidR="00E57B6E" w:rsidRPr="00E009F4">
              <w:rPr>
                <w:rFonts w:eastAsia="Times New Roman" w:cstheme="minorHAnsi"/>
                <w:color w:val="000000"/>
                <w:sz w:val="22"/>
                <w:szCs w:val="22"/>
              </w:rPr>
              <w:t>4</w:t>
            </w:r>
          </w:p>
        </w:tc>
      </w:tr>
      <w:tr w:rsidR="00660A7A" w:rsidRPr="00E009F4" w14:paraId="67A0C3C1" w14:textId="77777777" w:rsidTr="00E009F4">
        <w:trPr>
          <w:trHeight w:val="806"/>
        </w:trPr>
        <w:tc>
          <w:tcPr>
            <w:tcW w:w="2196" w:type="pct"/>
            <w:vMerge/>
            <w:tcBorders>
              <w:left w:val="nil"/>
              <w:right w:val="single" w:sz="4" w:space="0" w:color="auto"/>
            </w:tcBorders>
            <w:vAlign w:val="center"/>
          </w:tcPr>
          <w:p w14:paraId="1721DD91" w14:textId="77777777" w:rsidR="00660A7A" w:rsidRPr="00E009F4" w:rsidRDefault="00660A7A" w:rsidP="00E009F4">
            <w:pPr>
              <w:spacing w:line="276" w:lineRule="auto"/>
              <w:rPr>
                <w:rFonts w:eastAsia="Times New Roman" w:cstheme="minorHAnsi"/>
                <w:color w:val="000000"/>
                <w:sz w:val="22"/>
                <w:szCs w:val="22"/>
              </w:rPr>
            </w:pPr>
          </w:p>
        </w:tc>
        <w:tc>
          <w:tcPr>
            <w:tcW w:w="762" w:type="pct"/>
            <w:tcBorders>
              <w:top w:val="nil"/>
              <w:left w:val="single" w:sz="4" w:space="0" w:color="auto"/>
              <w:right w:val="nil"/>
            </w:tcBorders>
            <w:shd w:val="clear" w:color="auto" w:fill="auto"/>
            <w:noWrap/>
            <w:hideMark/>
          </w:tcPr>
          <w:p w14:paraId="093DB967" w14:textId="35EF5A68"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Lung</w:t>
            </w:r>
          </w:p>
        </w:tc>
        <w:tc>
          <w:tcPr>
            <w:tcW w:w="634" w:type="pct"/>
            <w:tcBorders>
              <w:top w:val="nil"/>
              <w:left w:val="nil"/>
              <w:right w:val="nil"/>
            </w:tcBorders>
            <w:shd w:val="clear" w:color="auto" w:fill="auto"/>
            <w:noWrap/>
            <w:hideMark/>
          </w:tcPr>
          <w:p w14:paraId="1FFE60F6"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0.19-0.91</w:t>
            </w:r>
          </w:p>
        </w:tc>
        <w:tc>
          <w:tcPr>
            <w:tcW w:w="775" w:type="pct"/>
            <w:tcBorders>
              <w:top w:val="nil"/>
              <w:left w:val="nil"/>
              <w:right w:val="nil"/>
            </w:tcBorders>
          </w:tcPr>
          <w:p w14:paraId="7CDA8E36"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&lt;30 days from death to more than year away (Korean study)</w:t>
            </w:r>
          </w:p>
        </w:tc>
        <w:tc>
          <w:tcPr>
            <w:tcW w:w="633" w:type="pct"/>
            <w:tcBorders>
              <w:top w:val="nil"/>
              <w:left w:val="nil"/>
              <w:right w:val="nil"/>
            </w:tcBorders>
          </w:tcPr>
          <w:p w14:paraId="678EAD71" w14:textId="004AB61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0.4</w:t>
            </w:r>
            <w:r w:rsidR="00E07B6B" w:rsidRPr="00E009F4">
              <w:rPr>
                <w:rFonts w:eastAsia="Times New Roman" w:cstheme="minorHAnsi"/>
                <w:color w:val="000000"/>
                <w:sz w:val="22"/>
                <w:szCs w:val="22"/>
              </w:rPr>
              <w:t>4</w:t>
            </w:r>
            <w:r w:rsidRPr="00E009F4">
              <w:rPr>
                <w:rFonts w:eastAsia="Times New Roman" w:cstheme="minorHAnsi"/>
                <w:color w:val="000000"/>
                <w:sz w:val="22"/>
                <w:szCs w:val="22"/>
              </w:rPr>
              <w:t>-0.</w:t>
            </w:r>
            <w:r w:rsidR="00E07B6B" w:rsidRPr="00E009F4">
              <w:rPr>
                <w:rFonts w:eastAsia="Times New Roman" w:cstheme="minorHAnsi"/>
                <w:color w:val="000000"/>
                <w:sz w:val="22"/>
                <w:szCs w:val="22"/>
              </w:rPr>
              <w:t>53</w:t>
            </w:r>
          </w:p>
        </w:tc>
      </w:tr>
      <w:tr w:rsidR="00660A7A" w:rsidRPr="00E009F4" w14:paraId="69C02259" w14:textId="77777777" w:rsidTr="00E009F4">
        <w:trPr>
          <w:trHeight w:val="900"/>
        </w:trPr>
        <w:tc>
          <w:tcPr>
            <w:tcW w:w="2196" w:type="pct"/>
            <w:vMerge/>
            <w:tcBorders>
              <w:left w:val="nil"/>
              <w:bottom w:val="single" w:sz="4" w:space="0" w:color="auto"/>
              <w:right w:val="single" w:sz="4" w:space="0" w:color="auto"/>
            </w:tcBorders>
            <w:vAlign w:val="center"/>
          </w:tcPr>
          <w:p w14:paraId="1D82BF0C" w14:textId="77777777" w:rsidR="00660A7A" w:rsidRPr="00E009F4" w:rsidRDefault="00660A7A" w:rsidP="00E009F4">
            <w:pPr>
              <w:spacing w:line="276" w:lineRule="auto"/>
              <w:rPr>
                <w:rFonts w:eastAsia="Times New Roman" w:cstheme="minorHAnsi"/>
                <w:color w:val="000000"/>
                <w:sz w:val="22"/>
                <w:szCs w:val="22"/>
              </w:rPr>
            </w:pPr>
          </w:p>
        </w:tc>
        <w:tc>
          <w:tcPr>
            <w:tcW w:w="762" w:type="pct"/>
            <w:tcBorders>
              <w:top w:val="nil"/>
              <w:left w:val="single" w:sz="4" w:space="0" w:color="auto"/>
              <w:bottom w:val="single" w:sz="4" w:space="0" w:color="auto"/>
              <w:right w:val="nil"/>
            </w:tcBorders>
            <w:shd w:val="clear" w:color="auto" w:fill="auto"/>
            <w:noWrap/>
            <w:hideMark/>
          </w:tcPr>
          <w:p w14:paraId="4C7420B4" w14:textId="634EE55D"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Prostate</w:t>
            </w:r>
          </w:p>
        </w:tc>
        <w:tc>
          <w:tcPr>
            <w:tcW w:w="634" w:type="pct"/>
            <w:tcBorders>
              <w:top w:val="nil"/>
              <w:left w:val="nil"/>
              <w:bottom w:val="single" w:sz="4" w:space="0" w:color="auto"/>
              <w:right w:val="nil"/>
            </w:tcBorders>
            <w:shd w:val="clear" w:color="auto" w:fill="auto"/>
            <w:noWrap/>
            <w:hideMark/>
          </w:tcPr>
          <w:p w14:paraId="1E1778A0" w14:textId="77777777"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0.51-0.90</w:t>
            </w:r>
          </w:p>
        </w:tc>
        <w:tc>
          <w:tcPr>
            <w:tcW w:w="775" w:type="pct"/>
            <w:tcBorders>
              <w:top w:val="nil"/>
              <w:left w:val="nil"/>
              <w:bottom w:val="single" w:sz="4" w:space="0" w:color="auto"/>
              <w:right w:val="nil"/>
            </w:tcBorders>
          </w:tcPr>
          <w:p w14:paraId="057B66CC" w14:textId="77777777" w:rsidR="00660A7A" w:rsidRPr="00E009F4" w:rsidRDefault="00660A7A" w:rsidP="00E009F4">
            <w:pPr>
              <w:spacing w:line="276" w:lineRule="auto"/>
              <w:rPr>
                <w:rFonts w:eastAsia="Times New Roman" w:cstheme="minorHAnsi"/>
                <w:color w:val="000000"/>
                <w:sz w:val="22"/>
                <w:szCs w:val="22"/>
              </w:rPr>
            </w:pPr>
          </w:p>
        </w:tc>
        <w:tc>
          <w:tcPr>
            <w:tcW w:w="633" w:type="pct"/>
            <w:tcBorders>
              <w:top w:val="nil"/>
              <w:left w:val="nil"/>
              <w:bottom w:val="single" w:sz="4" w:space="0" w:color="auto"/>
              <w:right w:val="nil"/>
            </w:tcBorders>
          </w:tcPr>
          <w:p w14:paraId="6A235D53" w14:textId="7D0C78C8" w:rsidR="00660A7A" w:rsidRPr="00E009F4" w:rsidRDefault="00660A7A" w:rsidP="00E009F4">
            <w:pPr>
              <w:spacing w:line="276" w:lineRule="auto"/>
              <w:rPr>
                <w:rFonts w:eastAsia="Times New Roman" w:cstheme="minorHAnsi"/>
                <w:color w:val="000000"/>
                <w:sz w:val="22"/>
                <w:szCs w:val="22"/>
              </w:rPr>
            </w:pPr>
            <w:r w:rsidRPr="00E009F4">
              <w:rPr>
                <w:rFonts w:eastAsia="Times New Roman" w:cstheme="minorHAnsi"/>
                <w:color w:val="000000"/>
                <w:sz w:val="22"/>
                <w:szCs w:val="22"/>
              </w:rPr>
              <w:t>0.</w:t>
            </w:r>
            <w:r w:rsidR="00997B49" w:rsidRPr="00E009F4">
              <w:rPr>
                <w:rFonts w:eastAsia="Times New Roman" w:cstheme="minorHAnsi"/>
                <w:color w:val="000000"/>
                <w:sz w:val="22"/>
                <w:szCs w:val="22"/>
              </w:rPr>
              <w:t>4</w:t>
            </w:r>
            <w:r w:rsidR="00C30EA0" w:rsidRPr="00E009F4">
              <w:rPr>
                <w:rFonts w:eastAsia="Times New Roman" w:cstheme="minorHAnsi"/>
                <w:color w:val="000000"/>
                <w:sz w:val="22"/>
                <w:szCs w:val="22"/>
              </w:rPr>
              <w:t>9</w:t>
            </w:r>
            <w:r w:rsidRPr="00E009F4">
              <w:rPr>
                <w:rFonts w:eastAsia="Times New Roman" w:cstheme="minorHAnsi"/>
                <w:color w:val="000000"/>
                <w:sz w:val="22"/>
                <w:szCs w:val="22"/>
              </w:rPr>
              <w:t>-0.6</w:t>
            </w:r>
            <w:r w:rsidR="00997B49" w:rsidRPr="00E009F4">
              <w:rPr>
                <w:rFonts w:eastAsia="Times New Roman" w:cstheme="minorHAnsi"/>
                <w:color w:val="000000"/>
                <w:sz w:val="22"/>
                <w:szCs w:val="22"/>
              </w:rPr>
              <w:t>7</w:t>
            </w:r>
          </w:p>
        </w:tc>
      </w:tr>
    </w:tbl>
    <w:p w14:paraId="151B977B" w14:textId="5E8F0AB8" w:rsidR="00393B54" w:rsidRDefault="00393B54"/>
    <w:p w14:paraId="309B2829" w14:textId="02C25EB0" w:rsidR="00393B54" w:rsidRDefault="00393B54" w:rsidP="00E009F4">
      <w:pPr>
        <w:spacing w:line="480" w:lineRule="auto"/>
      </w:pPr>
      <w:r w:rsidRPr="00BA76B0">
        <w:rPr>
          <w:rFonts w:cstheme="minorHAnsi"/>
        </w:rPr>
        <w:lastRenderedPageBreak/>
        <w:t xml:space="preserve">To </w:t>
      </w:r>
      <w:r>
        <w:rPr>
          <w:rFonts w:cstheme="minorHAnsi"/>
        </w:rPr>
        <w:t xml:space="preserve">further </w:t>
      </w:r>
      <w:r w:rsidRPr="00BA76B0">
        <w:rPr>
          <w:rFonts w:cstheme="minorHAnsi"/>
        </w:rPr>
        <w:t xml:space="preserve">contextualise the scores in this study, </w:t>
      </w:r>
      <w:r w:rsidR="00D14D73">
        <w:rPr>
          <w:rFonts w:cstheme="minorHAnsi"/>
        </w:rPr>
        <w:t>the table above</w:t>
      </w:r>
      <w:r w:rsidRPr="00BA76B0">
        <w:rPr>
          <w:rFonts w:cstheme="minorHAnsi"/>
        </w:rPr>
        <w:t xml:space="preserve"> shows mean baseline and </w:t>
      </w:r>
      <w:r>
        <w:rPr>
          <w:rFonts w:cstheme="minorHAnsi"/>
        </w:rPr>
        <w:t>post intervention</w:t>
      </w:r>
      <w:r w:rsidRPr="00BA76B0">
        <w:rPr>
          <w:rFonts w:cstheme="minorHAnsi"/>
        </w:rPr>
        <w:t xml:space="preserve"> EQ</w:t>
      </w:r>
      <w:r>
        <w:rPr>
          <w:rFonts w:cstheme="minorHAnsi"/>
        </w:rPr>
        <w:t>-</w:t>
      </w:r>
      <w:r w:rsidRPr="00BA76B0">
        <w:rPr>
          <w:rFonts w:cstheme="minorHAnsi"/>
        </w:rPr>
        <w:t xml:space="preserve">5D utility scores from participants in this study, according to cancer type. The same </w:t>
      </w:r>
      <w:r>
        <w:rPr>
          <w:rFonts w:cstheme="minorHAnsi"/>
        </w:rPr>
        <w:t>table also</w:t>
      </w:r>
      <w:r w:rsidRPr="00BA76B0">
        <w:rPr>
          <w:rFonts w:cstheme="minorHAnsi"/>
        </w:rPr>
        <w:t xml:space="preserve"> contains a reference range of </w:t>
      </w:r>
      <w:r>
        <w:rPr>
          <w:rFonts w:cstheme="minorHAnsi"/>
        </w:rPr>
        <w:t>the highest and lowest</w:t>
      </w:r>
      <w:r w:rsidRPr="00BA76B0">
        <w:rPr>
          <w:rFonts w:cstheme="minorHAnsi"/>
        </w:rPr>
        <w:t xml:space="preserve"> </w:t>
      </w:r>
      <w:r>
        <w:rPr>
          <w:rFonts w:cstheme="minorHAnsi"/>
        </w:rPr>
        <w:t xml:space="preserve">mean </w:t>
      </w:r>
      <w:r w:rsidRPr="00BA76B0">
        <w:rPr>
          <w:rFonts w:cstheme="minorHAnsi"/>
        </w:rPr>
        <w:t>EQ</w:t>
      </w:r>
      <w:r>
        <w:rPr>
          <w:rFonts w:cstheme="minorHAnsi"/>
        </w:rPr>
        <w:t>-</w:t>
      </w:r>
      <w:r w:rsidRPr="00BA76B0">
        <w:rPr>
          <w:rFonts w:cstheme="minorHAnsi"/>
        </w:rPr>
        <w:t xml:space="preserve">5D utility scores for the same cancer types, obtained from international studies </w:t>
      </w:r>
      <w:r>
        <w:rPr>
          <w:rFonts w:cstheme="minorHAnsi"/>
        </w:rPr>
        <w:t xml:space="preserve">specifically </w:t>
      </w:r>
      <w:r w:rsidRPr="00BA76B0">
        <w:rPr>
          <w:rFonts w:cstheme="minorHAnsi"/>
        </w:rPr>
        <w:t>designed to ascertain EQ</w:t>
      </w:r>
      <w:r>
        <w:rPr>
          <w:rFonts w:cstheme="minorHAnsi"/>
        </w:rPr>
        <w:t>-</w:t>
      </w:r>
      <w:r w:rsidRPr="00BA76B0">
        <w:rPr>
          <w:rFonts w:cstheme="minorHAnsi"/>
        </w:rPr>
        <w:t xml:space="preserve">5D population norms on these cancer types. </w:t>
      </w:r>
      <w:r>
        <w:rPr>
          <w:rFonts w:cstheme="minorHAnsi"/>
        </w:rPr>
        <w:t xml:space="preserve">Figures state that the </w:t>
      </w:r>
      <w:r w:rsidRPr="00BA76B0">
        <w:rPr>
          <w:rFonts w:cstheme="minorHAnsi"/>
        </w:rPr>
        <w:t xml:space="preserve">ICJ cohort </w:t>
      </w:r>
      <w:r>
        <w:rPr>
          <w:rFonts w:cstheme="minorHAnsi"/>
        </w:rPr>
        <w:t>recorded</w:t>
      </w:r>
      <w:r w:rsidRPr="00BA76B0">
        <w:rPr>
          <w:rFonts w:cstheme="minorHAnsi"/>
        </w:rPr>
        <w:t xml:space="preserve"> </w:t>
      </w:r>
      <w:r>
        <w:rPr>
          <w:rFonts w:cstheme="minorHAnsi"/>
        </w:rPr>
        <w:t xml:space="preserve">some of </w:t>
      </w:r>
      <w:r w:rsidRPr="00BA76B0">
        <w:rPr>
          <w:rFonts w:cstheme="minorHAnsi"/>
        </w:rPr>
        <w:t xml:space="preserve">the very lowest quality of life scores </w:t>
      </w:r>
      <w:r>
        <w:rPr>
          <w:rFonts w:cstheme="minorHAnsi"/>
        </w:rPr>
        <w:t>published</w:t>
      </w:r>
      <w:r w:rsidRPr="00BA76B0">
        <w:rPr>
          <w:rFonts w:cstheme="minorHAnsi"/>
        </w:rPr>
        <w:t xml:space="preserve"> in the cancer literature</w:t>
      </w:r>
      <w:r>
        <w:rPr>
          <w:rFonts w:cstheme="minorHAnsi"/>
        </w:rPr>
        <w:t>. The intervention is therefore not just clinically meaningful, but also successfully reaching the population that requires it the most.</w:t>
      </w:r>
    </w:p>
    <w:sectPr w:rsidR="00393B54" w:rsidSect="00AD6EC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A7A"/>
    <w:rsid w:val="00002792"/>
    <w:rsid w:val="00182212"/>
    <w:rsid w:val="001B72A9"/>
    <w:rsid w:val="001F0620"/>
    <w:rsid w:val="001F0F30"/>
    <w:rsid w:val="00265256"/>
    <w:rsid w:val="00393B54"/>
    <w:rsid w:val="00660A7A"/>
    <w:rsid w:val="006A2491"/>
    <w:rsid w:val="00753989"/>
    <w:rsid w:val="007F45E6"/>
    <w:rsid w:val="00997B49"/>
    <w:rsid w:val="00AD6EC5"/>
    <w:rsid w:val="00AD72FB"/>
    <w:rsid w:val="00BC06AC"/>
    <w:rsid w:val="00C30EA0"/>
    <w:rsid w:val="00CB41AA"/>
    <w:rsid w:val="00D14D73"/>
    <w:rsid w:val="00D2017C"/>
    <w:rsid w:val="00E009F4"/>
    <w:rsid w:val="00E07B6B"/>
    <w:rsid w:val="00E464D3"/>
    <w:rsid w:val="00E5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9030"/>
  <w14:defaultImageDpi w14:val="32767"/>
  <w15:chartTrackingRefBased/>
  <w15:docId w15:val="{71187C5D-72BB-D64F-AD27-3BA882B37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A7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01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17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2267</Words>
  <Characters>12923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Snowden, Austyn</dc:creator>
  <cp:keywords/>
  <dc:description/>
  <cp:lastModifiedBy>SNMSC</cp:lastModifiedBy>
  <cp:revision>2</cp:revision>
  <dcterms:created xsi:type="dcterms:W3CDTF">2020-04-29T17:16:00Z</dcterms:created>
  <dcterms:modified xsi:type="dcterms:W3CDTF">2020-04-29T17:16:00Z</dcterms:modified>
</cp:coreProperties>
</file>