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F40" w:rsidRDefault="00134F40" w:rsidP="00134F40">
      <w:r w:rsidRPr="009E5B43">
        <w:t xml:space="preserve">Additional file </w:t>
      </w:r>
      <w:r>
        <w:t>1</w:t>
      </w:r>
    </w:p>
    <w:p w:rsidR="00134F40" w:rsidRPr="009E5B43" w:rsidRDefault="00134F40" w:rsidP="00134F40"/>
    <w:p w:rsidR="00134F40" w:rsidRPr="00303AD7" w:rsidRDefault="00134F40" w:rsidP="00134F40">
      <w:r w:rsidRPr="009E5B43">
        <w:rPr>
          <w:b/>
        </w:rPr>
        <w:t>Table S1</w:t>
      </w:r>
      <w:r w:rsidRPr="009E5B43">
        <w:t xml:space="preserve"> Detailed list of clinical samples and cell lines selected for the analytical evaluation studies</w:t>
      </w:r>
    </w:p>
    <w:p w:rsidR="00134F40" w:rsidRPr="00303AD7" w:rsidRDefault="00134F40" w:rsidP="00134F40"/>
    <w:tbl>
      <w:tblPr>
        <w:tblStyle w:val="TableGrid"/>
        <w:tblW w:w="878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843"/>
        <w:gridCol w:w="2268"/>
      </w:tblGrid>
      <w:tr w:rsidR="00134F40" w:rsidRPr="00E95768" w:rsidTr="00AE1601">
        <w:trPr>
          <w:trHeight w:val="289"/>
        </w:trPr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</w:tcPr>
          <w:p w:rsidR="00134F40" w:rsidRPr="00EB1048" w:rsidRDefault="00134F40" w:rsidP="00AE1601">
            <w:pPr>
              <w:rPr>
                <w:sz w:val="20"/>
                <w:szCs w:val="20"/>
              </w:rPr>
            </w:pPr>
            <w:r w:rsidRPr="00EB1048">
              <w:rPr>
                <w:sz w:val="20"/>
                <w:szCs w:val="20"/>
              </w:rPr>
              <w:t>Study sample ID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34F40" w:rsidRPr="00EB1048" w:rsidRDefault="00134F40" w:rsidP="00AE1601">
            <w:pPr>
              <w:rPr>
                <w:sz w:val="20"/>
                <w:szCs w:val="20"/>
              </w:rPr>
            </w:pPr>
            <w:r w:rsidRPr="00EB1048">
              <w:rPr>
                <w:sz w:val="20"/>
                <w:szCs w:val="20"/>
              </w:rPr>
              <w:t>Disease type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34F40" w:rsidRPr="00EB1048" w:rsidRDefault="00134F40" w:rsidP="00AE1601">
            <w:pPr>
              <w:rPr>
                <w:sz w:val="20"/>
                <w:szCs w:val="20"/>
              </w:rPr>
            </w:pPr>
            <w:r w:rsidRPr="00EB1048">
              <w:rPr>
                <w:sz w:val="20"/>
                <w:szCs w:val="20"/>
              </w:rPr>
              <w:t>Sample type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34F40" w:rsidRPr="00EB1048" w:rsidRDefault="00134F40" w:rsidP="00AE1601">
            <w:pPr>
              <w:rPr>
                <w:sz w:val="20"/>
                <w:szCs w:val="20"/>
              </w:rPr>
            </w:pPr>
            <w:r w:rsidRPr="00EB1048">
              <w:rPr>
                <w:sz w:val="20"/>
                <w:szCs w:val="20"/>
              </w:rPr>
              <w:t>Calibrated receptor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  <w:tcBorders>
              <w:top w:val="single" w:sz="12" w:space="0" w:color="auto"/>
            </w:tcBorders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31113001003_ALL_BMA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31125003003_ALL_BMA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31125005003_ALL_BMA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31127001004_ALL_BMA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IgHD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31148005001_ALL_BMA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31148005010_ALL_BMA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31163005001_ALL_BMA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IgH;IgK;IgL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31165007002_ALL_BMA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BCH001_ALL_BMMC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IgH;IgK;IgL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BCH003_ALL_BMMC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BCH004_ALL_BMMC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BCH005_ALL_BMMC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BCH006_ALL_BMMC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BCH009_ALL_BMMC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BCH012_ALL_BMMC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B-ALL_1_ALL_BMA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B-ALL_10_ALL_BMA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B-ALL_2_ALL_BMA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B-ALL_3_ALL_BMA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B-ALL_4_ALL_BMA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B-ALL_5_ALL_BMA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B-ALL_8_ALL_BMA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B-ALL_9_ALL_BMA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SUP-B15_cell_line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gDNA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GM-20390_cell_line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gDNA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GM14952_cell_line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303AD7">
              <w:rPr>
                <w:color w:val="000000"/>
                <w:sz w:val="20"/>
                <w:szCs w:val="20"/>
              </w:rPr>
              <w:t>,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b</w:t>
            </w:r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gDNA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CLL467BM_CLL_BMA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CLL468BM_CLL_BMA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CLL470BM_CLL_BMMC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CLL472BM_CLL_BMMC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CLL474BM_CLL_BMMC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CLL475BM_CLL_BMMC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CLL476BM_CLL_BMMC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CLL477BM_CLL_BMMC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lastRenderedPageBreak/>
              <w:t xml:space="preserve">AS071-14_PBMC_CLL_PBMC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CA045-13_PBMC_CLL_PBMC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IN053-16_PBMC_CLL_PBMC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MS101-14_PBMC_CLL_PBMC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PM013-15_PBMC_CLL_PBMC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PU066-15_PBMC_CLL_PBMC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IgH;IgK;IgHD;IgL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RC123-13_PBMC_CLL_PBMC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RM006-13_PBMC_CLL_PBMC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SM009-13_PBMC_CLL_PBMC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VR060-13_PBMC_CLL_PBMC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CLL_1_CLL_Blood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CLL_2_CLL_Blood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CLL_3_CLL_Blood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CLL_6_CLL_Blood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PB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CLL_8_CLL_Blood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PGA-1_cell_line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gDNA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HG-3_cell_line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gDNA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MEC-1_cell_line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303AD7">
              <w:rPr>
                <w:color w:val="000000"/>
                <w:sz w:val="20"/>
                <w:szCs w:val="20"/>
              </w:rPr>
              <w:t>,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b</w:t>
            </w:r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CLL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gDNA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230822_MM_PlasmaCell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MYELOMA_1_MM_BMA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BMA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UPN56009_MM_BMMC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IgH;IgK;IgL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UPN68043_MM_BMMC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UPN95122_MM_BMMC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CD138+_T11664_MM_CD138+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CD138+_T11729_MM_CD138+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CD138+_T11805_MM_CD138+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MM435BM_MM_BMMC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UPN13284_MM_BMMC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UPN14460_MM_BMMC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BMMC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IgH;IgK;IgHD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CD138+_T10673_MM_CD138+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CD138+_T10729_MM_CD138+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CD138+_T10736_MM_CD138+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CD138+_T10744_MM_CD138+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CD138+_T10751_MM_CD138+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CD138+_T10764_MM_CD138+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CD138+_T10777_MM_CD138+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CD138+_T10807_MM_CD138+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CD138+_T11658_MM_CD138+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</w:t>
            </w:r>
            <w:proofErr w:type="spellEnd"/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CD138+_T11666_MM_CD138+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CD138+_T11685_MM_CD138+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CD138+_T11718_MM_CD138+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IgH;IgHD;IgL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CD138+_T11746_MM_CD138+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lastRenderedPageBreak/>
              <w:t xml:space="preserve">CD138+_T11763_MM_CD138+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CD138+_T11820_MM_CD138+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CD138+ cell pellet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IM-9_cell_line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303AD7">
              <w:rPr>
                <w:color w:val="000000"/>
                <w:sz w:val="20"/>
                <w:szCs w:val="20"/>
              </w:rPr>
              <w:t>,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b</w:t>
            </w:r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gDNA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IgK;IgH;IgHD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U-266_cell_line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gDNA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IgK;IgH;IgL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34F40" w:rsidRPr="00E95768" w:rsidTr="00AE1601">
        <w:trPr>
          <w:trHeight w:val="303"/>
        </w:trPr>
        <w:tc>
          <w:tcPr>
            <w:tcW w:w="3114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L-363_cell_line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843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gDNA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134F40" w:rsidRPr="00303AD7" w:rsidRDefault="00134F40" w:rsidP="00AE16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303AD7">
              <w:rPr>
                <w:color w:val="000000"/>
                <w:sz w:val="20"/>
                <w:szCs w:val="20"/>
              </w:rPr>
              <w:t>IgK;IgL</w:t>
            </w:r>
            <w:proofErr w:type="spellEnd"/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134F40" w:rsidRPr="00E95768" w:rsidRDefault="00134F40" w:rsidP="00134F40">
      <w:proofErr w:type="gramStart"/>
      <w:r w:rsidRPr="00303AD7">
        <w:rPr>
          <w:rFonts w:eastAsia="Calibri"/>
          <w:i/>
        </w:rPr>
        <w:t>ALL</w:t>
      </w:r>
      <w:r w:rsidRPr="00303AD7">
        <w:rPr>
          <w:rFonts w:eastAsia="Calibri"/>
        </w:rPr>
        <w:t xml:space="preserve"> acute lymphoblastic leukemia, </w:t>
      </w:r>
      <w:r w:rsidRPr="00303AD7">
        <w:rPr>
          <w:rFonts w:eastAsia="Calibri"/>
          <w:i/>
        </w:rPr>
        <w:t>BMA</w:t>
      </w:r>
      <w:r w:rsidRPr="00303AD7">
        <w:rPr>
          <w:rFonts w:eastAsia="Calibri"/>
        </w:rPr>
        <w:t xml:space="preserve"> bone marrow aspirate, </w:t>
      </w:r>
      <w:r w:rsidRPr="00303AD7">
        <w:rPr>
          <w:rFonts w:eastAsia="Calibri"/>
          <w:i/>
        </w:rPr>
        <w:t>BMMC</w:t>
      </w:r>
      <w:r w:rsidRPr="00303AD7">
        <w:rPr>
          <w:rFonts w:eastAsia="Calibri"/>
        </w:rPr>
        <w:t xml:space="preserve"> bone marrow-derived </w:t>
      </w:r>
      <w:r>
        <w:rPr>
          <w:rFonts w:eastAsia="Calibri"/>
        </w:rPr>
        <w:t>mononuclear</w:t>
      </w:r>
      <w:r w:rsidRPr="00303AD7">
        <w:rPr>
          <w:rFonts w:eastAsia="Calibri"/>
        </w:rPr>
        <w:t xml:space="preserve"> cell, </w:t>
      </w:r>
      <w:r w:rsidRPr="00303AD7">
        <w:rPr>
          <w:rFonts w:eastAsia="Calibri"/>
          <w:i/>
        </w:rPr>
        <w:t>CLL</w:t>
      </w:r>
      <w:r w:rsidRPr="00303AD7">
        <w:rPr>
          <w:rFonts w:eastAsia="Calibri"/>
        </w:rPr>
        <w:t xml:space="preserve"> chronic lymphocytic leukemia, </w:t>
      </w:r>
      <w:proofErr w:type="spellStart"/>
      <w:r w:rsidRPr="00303AD7">
        <w:rPr>
          <w:rFonts w:eastAsia="Calibri"/>
          <w:i/>
        </w:rPr>
        <w:t>gDNA</w:t>
      </w:r>
      <w:proofErr w:type="spellEnd"/>
      <w:r w:rsidRPr="00303AD7">
        <w:rPr>
          <w:rFonts w:eastAsia="Calibri"/>
        </w:rPr>
        <w:t xml:space="preserve"> genomic DNA, </w:t>
      </w:r>
      <w:r w:rsidRPr="00303AD7">
        <w:rPr>
          <w:rFonts w:eastAsia="Calibri"/>
          <w:i/>
        </w:rPr>
        <w:t>MM</w:t>
      </w:r>
      <w:r w:rsidRPr="00303AD7">
        <w:rPr>
          <w:rFonts w:eastAsia="Calibri"/>
        </w:rPr>
        <w:t xml:space="preserve"> multiple myeloma, </w:t>
      </w:r>
      <w:r w:rsidRPr="00303AD7">
        <w:rPr>
          <w:rFonts w:eastAsia="Calibri"/>
          <w:i/>
        </w:rPr>
        <w:t>PB</w:t>
      </w:r>
      <w:r w:rsidRPr="00303AD7">
        <w:rPr>
          <w:rFonts w:eastAsia="Calibri"/>
        </w:rPr>
        <w:t xml:space="preserve"> peripheral blood, </w:t>
      </w:r>
      <w:r w:rsidRPr="00303AD7">
        <w:rPr>
          <w:rFonts w:eastAsia="Calibri"/>
          <w:i/>
        </w:rPr>
        <w:t>PBMC</w:t>
      </w:r>
      <w:r w:rsidRPr="00303AD7">
        <w:rPr>
          <w:rFonts w:eastAsia="Calibri"/>
        </w:rPr>
        <w:t xml:space="preserve"> peripheral blood mononuclear cells.</w:t>
      </w:r>
      <w:proofErr w:type="gramEnd"/>
      <w:r w:rsidRPr="00E95768">
        <w:t xml:space="preserve"> </w:t>
      </w:r>
    </w:p>
    <w:p w:rsidR="00134F40" w:rsidRPr="00531E4F" w:rsidRDefault="00134F40" w:rsidP="00134F40">
      <w:pPr>
        <w:rPr>
          <w:szCs w:val="20"/>
        </w:rPr>
      </w:pPr>
      <w:proofErr w:type="spellStart"/>
      <w:proofErr w:type="gramStart"/>
      <w:r w:rsidRPr="00531E4F">
        <w:rPr>
          <w:szCs w:val="20"/>
          <w:vertAlign w:val="superscript"/>
        </w:rPr>
        <w:t>a</w:t>
      </w:r>
      <w:r w:rsidRPr="00531E4F">
        <w:rPr>
          <w:szCs w:val="20"/>
        </w:rPr>
        <w:t>Cell</w:t>
      </w:r>
      <w:proofErr w:type="spellEnd"/>
      <w:proofErr w:type="gramEnd"/>
      <w:r w:rsidRPr="00531E4F">
        <w:rPr>
          <w:szCs w:val="20"/>
        </w:rPr>
        <w:t xml:space="preserve"> line </w:t>
      </w:r>
      <w:proofErr w:type="spellStart"/>
      <w:r w:rsidRPr="00531E4F">
        <w:rPr>
          <w:szCs w:val="20"/>
        </w:rPr>
        <w:t>gDNA</w:t>
      </w:r>
      <w:proofErr w:type="spellEnd"/>
      <w:r w:rsidRPr="00531E4F">
        <w:rPr>
          <w:szCs w:val="20"/>
        </w:rPr>
        <w:t xml:space="preserve"> used in the precision analysis. </w:t>
      </w:r>
    </w:p>
    <w:p w:rsidR="00134F40" w:rsidRPr="00531E4F" w:rsidRDefault="00134F40" w:rsidP="00134F40">
      <w:pPr>
        <w:rPr>
          <w:szCs w:val="20"/>
        </w:rPr>
      </w:pPr>
      <w:proofErr w:type="spellStart"/>
      <w:proofErr w:type="gramStart"/>
      <w:r w:rsidRPr="00531E4F">
        <w:rPr>
          <w:szCs w:val="20"/>
          <w:vertAlign w:val="superscript"/>
        </w:rPr>
        <w:t>b</w:t>
      </w:r>
      <w:r w:rsidRPr="00531E4F">
        <w:rPr>
          <w:szCs w:val="20"/>
        </w:rPr>
        <w:t>Cell</w:t>
      </w:r>
      <w:proofErr w:type="spellEnd"/>
      <w:proofErr w:type="gramEnd"/>
      <w:r w:rsidRPr="00531E4F">
        <w:rPr>
          <w:szCs w:val="20"/>
        </w:rPr>
        <w:t xml:space="preserve"> line </w:t>
      </w:r>
      <w:proofErr w:type="spellStart"/>
      <w:r w:rsidRPr="00531E4F">
        <w:rPr>
          <w:szCs w:val="20"/>
        </w:rPr>
        <w:t>gDNA</w:t>
      </w:r>
      <w:proofErr w:type="spellEnd"/>
      <w:r w:rsidRPr="00531E4F">
        <w:rPr>
          <w:szCs w:val="20"/>
        </w:rPr>
        <w:t xml:space="preserve"> used in the LOB LOD and LOQ analyses.</w:t>
      </w:r>
    </w:p>
    <w:p w:rsidR="00134F40" w:rsidRPr="00531E4F" w:rsidRDefault="00134F40" w:rsidP="00134F40">
      <w:pPr>
        <w:rPr>
          <w:szCs w:val="20"/>
        </w:rPr>
      </w:pPr>
    </w:p>
    <w:p w:rsidR="00134F40" w:rsidRPr="00531E4F" w:rsidRDefault="00134F40" w:rsidP="00134F40">
      <w:pPr>
        <w:rPr>
          <w:szCs w:val="20"/>
        </w:rPr>
      </w:pPr>
      <w:r w:rsidRPr="00531E4F">
        <w:rPr>
          <w:szCs w:val="20"/>
        </w:rPr>
        <w:t>Samples were identified based on (1) disease load &gt; 30%</w:t>
      </w:r>
      <w:r>
        <w:rPr>
          <w:szCs w:val="20"/>
        </w:rPr>
        <w:t xml:space="preserve"> by an orthogonal technology</w:t>
      </w:r>
      <w:r w:rsidRPr="00531E4F">
        <w:rPr>
          <w:szCs w:val="20"/>
        </w:rPr>
        <w:t xml:space="preserve">; (2) having calibrated clone(s); (3) having sequence independence, and (4) </w:t>
      </w:r>
      <w:r>
        <w:rPr>
          <w:szCs w:val="20"/>
        </w:rPr>
        <w:t>having</w:t>
      </w:r>
      <w:r w:rsidRPr="00531E4F">
        <w:rPr>
          <w:szCs w:val="20"/>
        </w:rPr>
        <w:t xml:space="preserve"> sufficient material available to execute the AV studies.</w:t>
      </w:r>
    </w:p>
    <w:p w:rsidR="00134F40" w:rsidRDefault="00134F40" w:rsidP="00134F40">
      <w:pPr>
        <w:rPr>
          <w:szCs w:val="20"/>
        </w:rPr>
      </w:pPr>
      <w:r w:rsidRPr="00531E4F">
        <w:rPr>
          <w:szCs w:val="20"/>
        </w:rPr>
        <w:t xml:space="preserve">Of the 72 clinical samples chosen, 6 had disease loads &lt; 10% </w:t>
      </w:r>
      <w:r>
        <w:rPr>
          <w:szCs w:val="20"/>
        </w:rPr>
        <w:t xml:space="preserve">by </w:t>
      </w:r>
      <w:proofErr w:type="spellStart"/>
      <w:r>
        <w:rPr>
          <w:szCs w:val="20"/>
        </w:rPr>
        <w:t>clonoSEQ</w:t>
      </w:r>
      <w:proofErr w:type="spellEnd"/>
      <w:r>
        <w:rPr>
          <w:szCs w:val="20"/>
        </w:rPr>
        <w:t xml:space="preserve"> </w:t>
      </w:r>
      <w:r w:rsidRPr="00531E4F">
        <w:rPr>
          <w:szCs w:val="20"/>
        </w:rPr>
        <w:t>(3</w:t>
      </w:r>
      <w:r>
        <w:rPr>
          <w:szCs w:val="20"/>
        </w:rPr>
        <w:t xml:space="preserve"> </w:t>
      </w:r>
      <w:r w:rsidRPr="00531E4F">
        <w:rPr>
          <w:szCs w:val="20"/>
        </w:rPr>
        <w:t>MM, 1</w:t>
      </w:r>
      <w:r>
        <w:rPr>
          <w:szCs w:val="20"/>
        </w:rPr>
        <w:t xml:space="preserve"> </w:t>
      </w:r>
      <w:r w:rsidRPr="00531E4F">
        <w:rPr>
          <w:szCs w:val="20"/>
        </w:rPr>
        <w:t>CLL, 2 ALL) and were subsequently eliminated from all evaluation analyses.</w:t>
      </w:r>
    </w:p>
    <w:p w:rsidR="00134F40" w:rsidRDefault="00134F40" w:rsidP="00134F40">
      <w:pPr>
        <w:rPr>
          <w:szCs w:val="20"/>
        </w:rPr>
      </w:pPr>
    </w:p>
    <w:p w:rsidR="00134F40" w:rsidRPr="00531E4F" w:rsidRDefault="00134F40" w:rsidP="00134F40">
      <w:pPr>
        <w:rPr>
          <w:szCs w:val="20"/>
        </w:rPr>
      </w:pPr>
      <w:r>
        <w:rPr>
          <w:szCs w:val="20"/>
        </w:rPr>
        <w:t>Most of these samples included a mixture of tumor and non-tumor cells, but those with sample type “CD138+ cell pellet” were enriched for tumor cells by flow sorting to facilitate the identification of disease clones.</w:t>
      </w:r>
    </w:p>
    <w:p w:rsidR="00134F40" w:rsidRDefault="00134F40">
      <w:bookmarkStart w:id="0" w:name="_GoBack"/>
      <w:bookmarkEnd w:id="0"/>
    </w:p>
    <w:sectPr w:rsidR="00134F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40"/>
    <w:rsid w:val="00134F40"/>
    <w:rsid w:val="00B1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F4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F4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4143</Characters>
  <Application>Microsoft Office Word</Application>
  <DocSecurity>0</DocSecurity>
  <Lines>414</Lines>
  <Paragraphs>374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2020-06-16T17:46:00Z</dcterms:created>
  <dcterms:modified xsi:type="dcterms:W3CDTF">2020-06-16T17:46:00Z</dcterms:modified>
</cp:coreProperties>
</file>