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367" w:rsidRDefault="00C82367" w:rsidP="00C82367">
      <w:r>
        <w:t>Additional file 8</w:t>
      </w:r>
    </w:p>
    <w:p w:rsidR="00C82367" w:rsidRDefault="00C82367" w:rsidP="00C82367"/>
    <w:p w:rsidR="00C82367" w:rsidRPr="00E95768" w:rsidRDefault="00C82367" w:rsidP="00C82367">
      <w:pPr>
        <w:pStyle w:val="BodyText12"/>
        <w:spacing w:after="0" w:line="480" w:lineRule="auto"/>
        <w:jc w:val="left"/>
        <w:rPr>
          <w:bCs/>
        </w:rPr>
      </w:pPr>
      <w:r w:rsidRPr="009E5B43">
        <w:rPr>
          <w:b/>
          <w:szCs w:val="24"/>
        </w:rPr>
        <w:t xml:space="preserve">Table </w:t>
      </w:r>
      <w:r>
        <w:rPr>
          <w:b/>
          <w:szCs w:val="24"/>
        </w:rPr>
        <w:t>S5</w:t>
      </w:r>
      <w:r w:rsidRPr="009E5B43">
        <w:rPr>
          <w:b/>
          <w:szCs w:val="24"/>
        </w:rPr>
        <w:t xml:space="preserve"> </w:t>
      </w:r>
      <w:r w:rsidRPr="009E5B43">
        <w:rPr>
          <w:bCs/>
          <w:szCs w:val="24"/>
        </w:rPr>
        <w:t xml:space="preserve">Linearity of the </w:t>
      </w:r>
      <w:proofErr w:type="spellStart"/>
      <w:r w:rsidRPr="009E5B43">
        <w:rPr>
          <w:bCs/>
          <w:szCs w:val="24"/>
        </w:rPr>
        <w:t>clonoSEQ</w:t>
      </w:r>
      <w:proofErr w:type="spellEnd"/>
      <w:r w:rsidRPr="009E5B43">
        <w:rPr>
          <w:bCs/>
          <w:szCs w:val="24"/>
        </w:rPr>
        <w:t xml:space="preserve"> Assay using cell lines</w:t>
      </w:r>
    </w:p>
    <w:tbl>
      <w:tblPr>
        <w:tblW w:w="9498" w:type="dxa"/>
        <w:tblCellMar>
          <w:left w:w="144" w:type="dxa"/>
          <w:right w:w="144" w:type="dxa"/>
        </w:tblCellMar>
        <w:tblLook w:val="04A0" w:firstRow="1" w:lastRow="0" w:firstColumn="1" w:lastColumn="0" w:noHBand="0" w:noVBand="1"/>
      </w:tblPr>
      <w:tblGrid>
        <w:gridCol w:w="1227"/>
        <w:gridCol w:w="945"/>
        <w:gridCol w:w="1019"/>
        <w:gridCol w:w="1258"/>
        <w:gridCol w:w="767"/>
        <w:gridCol w:w="1077"/>
        <w:gridCol w:w="1480"/>
        <w:gridCol w:w="1725"/>
      </w:tblGrid>
      <w:tr w:rsidR="00C82367" w:rsidRPr="00D94A45" w:rsidTr="00AE1601">
        <w:trPr>
          <w:trHeight w:val="321"/>
        </w:trPr>
        <w:tc>
          <w:tcPr>
            <w:tcW w:w="1227" w:type="dxa"/>
            <w:tcBorders>
              <w:top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5" w:type="dxa"/>
            <w:tcBorders>
              <w:top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2" w:type="dxa"/>
            <w:gridSpan w:val="3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Combined analysis</w:t>
            </w:r>
          </w:p>
        </w:tc>
        <w:tc>
          <w:tcPr>
            <w:tcW w:w="3205" w:type="dxa"/>
            <w:gridSpan w:val="2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Summary of individual patient analyses</w:t>
            </w:r>
          </w:p>
        </w:tc>
      </w:tr>
      <w:tr w:rsidR="00C82367" w:rsidRPr="00D94A45" w:rsidTr="00AE1601">
        <w:trPr>
          <w:trHeight w:val="602"/>
        </w:trPr>
        <w:tc>
          <w:tcPr>
            <w:tcW w:w="1227" w:type="dxa"/>
            <w:tcBorders>
              <w:bottom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Disease indication</w:t>
            </w:r>
          </w:p>
        </w:tc>
        <w:tc>
          <w:tcPr>
            <w:tcW w:w="945" w:type="dxa"/>
            <w:tcBorders>
              <w:bottom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Input DNA</w:t>
            </w:r>
          </w:p>
        </w:tc>
        <w:tc>
          <w:tcPr>
            <w:tcW w:w="1019" w:type="dxa"/>
            <w:tcBorders>
              <w:bottom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Tested range</w:t>
            </w:r>
          </w:p>
        </w:tc>
        <w:tc>
          <w:tcPr>
            <w:tcW w:w="1258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Linear range (MRD frequency)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Slope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148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Slope range</w:t>
            </w: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Intercept range</w:t>
            </w:r>
          </w:p>
        </w:tc>
      </w:tr>
      <w:tr w:rsidR="00C82367" w:rsidRPr="00D94A45" w:rsidTr="00AE1601">
        <w:trPr>
          <w:trHeight w:val="602"/>
        </w:trPr>
        <w:tc>
          <w:tcPr>
            <w:tcW w:w="1227" w:type="dxa"/>
            <w:vMerge w:val="restart"/>
            <w:tcBorders>
              <w:top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ALL</w:t>
            </w:r>
          </w:p>
        </w:tc>
        <w:tc>
          <w:tcPr>
            <w:tcW w:w="945" w:type="dxa"/>
            <w:tcBorders>
              <w:top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200 ng</w:t>
            </w:r>
          </w:p>
        </w:tc>
        <w:tc>
          <w:tcPr>
            <w:tcW w:w="1019" w:type="dxa"/>
            <w:tcBorders>
              <w:top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1</w:t>
            </w:r>
          </w:p>
        </w:tc>
        <w:tc>
          <w:tcPr>
            <w:tcW w:w="1258" w:type="dxa"/>
            <w:tcBorders>
              <w:top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1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1.015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–0.109</w:t>
            </w:r>
          </w:p>
        </w:tc>
        <w:tc>
          <w:tcPr>
            <w:tcW w:w="1480" w:type="dxa"/>
            <w:tcBorders>
              <w:top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0.988 to 1.047</w:t>
            </w:r>
          </w:p>
        </w:tc>
        <w:tc>
          <w:tcPr>
            <w:tcW w:w="1725" w:type="dxa"/>
            <w:tcBorders>
              <w:top w:val="single" w:sz="12" w:space="0" w:color="auto"/>
            </w:tcBorders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–0.313 to 0.016</w:t>
            </w:r>
          </w:p>
        </w:tc>
      </w:tr>
      <w:tr w:rsidR="00C82367" w:rsidRPr="00D94A45" w:rsidTr="00AE1601">
        <w:trPr>
          <w:trHeight w:val="602"/>
        </w:trPr>
        <w:tc>
          <w:tcPr>
            <w:tcW w:w="0" w:type="auto"/>
            <w:vMerge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303AD7">
              <w:rPr>
                <w:color w:val="000000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019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1</w:t>
            </w:r>
          </w:p>
        </w:tc>
        <w:tc>
          <w:tcPr>
            <w:tcW w:w="1258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3.0x10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-5</w:t>
            </w:r>
            <w:r w:rsidRPr="00303AD7">
              <w:rPr>
                <w:color w:val="000000"/>
                <w:sz w:val="20"/>
                <w:szCs w:val="20"/>
              </w:rPr>
              <w:t xml:space="preserve"> to 0.3</w:t>
            </w:r>
          </w:p>
        </w:tc>
        <w:tc>
          <w:tcPr>
            <w:tcW w:w="767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1077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–0.172</w:t>
            </w:r>
          </w:p>
        </w:tc>
        <w:tc>
          <w:tcPr>
            <w:tcW w:w="1480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0.976 to 0.996</w:t>
            </w:r>
          </w:p>
        </w:tc>
        <w:tc>
          <w:tcPr>
            <w:tcW w:w="1725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–0.391 to </w:t>
            </w:r>
            <w:r w:rsidRPr="00303AD7">
              <w:rPr>
                <w:color w:val="000000"/>
                <w:sz w:val="20"/>
                <w:szCs w:val="20"/>
              </w:rPr>
              <w:t>–0.042</w:t>
            </w:r>
          </w:p>
        </w:tc>
      </w:tr>
      <w:tr w:rsidR="00C82367" w:rsidRPr="00D94A45" w:rsidTr="00AE1601">
        <w:trPr>
          <w:trHeight w:val="602"/>
        </w:trPr>
        <w:tc>
          <w:tcPr>
            <w:tcW w:w="0" w:type="auto"/>
            <w:vMerge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20 </w:t>
            </w:r>
            <w:proofErr w:type="spellStart"/>
            <w:r w:rsidRPr="00303AD7">
              <w:rPr>
                <w:color w:val="000000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019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0.1</w:t>
            </w:r>
          </w:p>
        </w:tc>
        <w:tc>
          <w:tcPr>
            <w:tcW w:w="1258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0.1</w:t>
            </w:r>
          </w:p>
        </w:tc>
        <w:tc>
          <w:tcPr>
            <w:tcW w:w="767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0.952</w:t>
            </w:r>
          </w:p>
        </w:tc>
        <w:tc>
          <w:tcPr>
            <w:tcW w:w="1077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–0.262</w:t>
            </w:r>
          </w:p>
        </w:tc>
        <w:tc>
          <w:tcPr>
            <w:tcW w:w="1480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0.882 to 0.991</w:t>
            </w:r>
          </w:p>
        </w:tc>
        <w:tc>
          <w:tcPr>
            <w:tcW w:w="1725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–0.628 to </w:t>
            </w:r>
            <w:r w:rsidRPr="00303AD7">
              <w:rPr>
                <w:color w:val="000000"/>
                <w:sz w:val="20"/>
                <w:szCs w:val="20"/>
              </w:rPr>
              <w:t>–0.051</w:t>
            </w:r>
          </w:p>
        </w:tc>
      </w:tr>
      <w:tr w:rsidR="00C82367" w:rsidRPr="00D94A45" w:rsidTr="00AE1601">
        <w:trPr>
          <w:trHeight w:val="423"/>
        </w:trPr>
        <w:tc>
          <w:tcPr>
            <w:tcW w:w="0" w:type="auto"/>
            <w:vMerge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40 </w:t>
            </w:r>
            <w:proofErr w:type="spellStart"/>
            <w:r w:rsidRPr="00303AD7">
              <w:rPr>
                <w:color w:val="000000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019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0.1</w:t>
            </w:r>
          </w:p>
        </w:tc>
        <w:tc>
          <w:tcPr>
            <w:tcW w:w="1258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0.1</w:t>
            </w:r>
          </w:p>
        </w:tc>
        <w:tc>
          <w:tcPr>
            <w:tcW w:w="767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077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1480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0.981 to 0.991</w:t>
            </w:r>
          </w:p>
        </w:tc>
        <w:tc>
          <w:tcPr>
            <w:tcW w:w="1725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0.062 to 0.102</w:t>
            </w:r>
          </w:p>
        </w:tc>
      </w:tr>
      <w:tr w:rsidR="00C82367" w:rsidRPr="00D94A45" w:rsidTr="00AE1601">
        <w:trPr>
          <w:trHeight w:val="602"/>
        </w:trPr>
        <w:tc>
          <w:tcPr>
            <w:tcW w:w="1227" w:type="dxa"/>
            <w:vMerge w:val="restart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MM</w:t>
            </w:r>
          </w:p>
        </w:tc>
        <w:tc>
          <w:tcPr>
            <w:tcW w:w="945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200 ng</w:t>
            </w:r>
          </w:p>
        </w:tc>
        <w:tc>
          <w:tcPr>
            <w:tcW w:w="1019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1</w:t>
            </w:r>
          </w:p>
        </w:tc>
        <w:tc>
          <w:tcPr>
            <w:tcW w:w="1258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1</w:t>
            </w:r>
          </w:p>
        </w:tc>
        <w:tc>
          <w:tcPr>
            <w:tcW w:w="767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1.028</w:t>
            </w:r>
          </w:p>
        </w:tc>
        <w:tc>
          <w:tcPr>
            <w:tcW w:w="1077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–0.066</w:t>
            </w:r>
          </w:p>
        </w:tc>
        <w:tc>
          <w:tcPr>
            <w:tcW w:w="1480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0.978 to 1.113</w:t>
            </w:r>
          </w:p>
        </w:tc>
        <w:tc>
          <w:tcPr>
            <w:tcW w:w="1725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–0.077 to </w:t>
            </w:r>
            <w:r w:rsidRPr="00303AD7">
              <w:rPr>
                <w:color w:val="000000"/>
                <w:sz w:val="20"/>
                <w:szCs w:val="20"/>
              </w:rPr>
              <w:t>–0.044</w:t>
            </w:r>
          </w:p>
        </w:tc>
      </w:tr>
      <w:tr w:rsidR="00C82367" w:rsidRPr="00D94A45" w:rsidTr="00AE1601">
        <w:trPr>
          <w:trHeight w:val="602"/>
        </w:trPr>
        <w:tc>
          <w:tcPr>
            <w:tcW w:w="0" w:type="auto"/>
            <w:vMerge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303AD7">
              <w:rPr>
                <w:color w:val="000000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019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1</w:t>
            </w:r>
          </w:p>
        </w:tc>
        <w:tc>
          <w:tcPr>
            <w:tcW w:w="1258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9.8x10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-6</w:t>
            </w:r>
            <w:r w:rsidRPr="00303AD7">
              <w:rPr>
                <w:color w:val="000000"/>
                <w:sz w:val="20"/>
                <w:szCs w:val="20"/>
              </w:rPr>
              <w:t xml:space="preserve"> to 0.3</w:t>
            </w:r>
          </w:p>
        </w:tc>
        <w:tc>
          <w:tcPr>
            <w:tcW w:w="767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1.015</w:t>
            </w:r>
          </w:p>
        </w:tc>
        <w:tc>
          <w:tcPr>
            <w:tcW w:w="1077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–0.033</w:t>
            </w:r>
          </w:p>
        </w:tc>
        <w:tc>
          <w:tcPr>
            <w:tcW w:w="1480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0.985 to 1.064</w:t>
            </w:r>
          </w:p>
        </w:tc>
        <w:tc>
          <w:tcPr>
            <w:tcW w:w="1725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–0.084 to 0.016</w:t>
            </w:r>
          </w:p>
        </w:tc>
      </w:tr>
      <w:tr w:rsidR="00C82367" w:rsidRPr="00D94A45" w:rsidTr="00AE1601">
        <w:trPr>
          <w:trHeight w:val="602"/>
        </w:trPr>
        <w:tc>
          <w:tcPr>
            <w:tcW w:w="0" w:type="auto"/>
            <w:vMerge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20 </w:t>
            </w:r>
            <w:proofErr w:type="spellStart"/>
            <w:r w:rsidRPr="00303AD7">
              <w:rPr>
                <w:color w:val="000000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019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0.1</w:t>
            </w:r>
          </w:p>
        </w:tc>
        <w:tc>
          <w:tcPr>
            <w:tcW w:w="1258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0.1</w:t>
            </w:r>
          </w:p>
        </w:tc>
        <w:tc>
          <w:tcPr>
            <w:tcW w:w="767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0.978</w:t>
            </w:r>
          </w:p>
        </w:tc>
        <w:tc>
          <w:tcPr>
            <w:tcW w:w="1077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–0.145</w:t>
            </w:r>
          </w:p>
        </w:tc>
        <w:tc>
          <w:tcPr>
            <w:tcW w:w="1480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0.960 to 0.993</w:t>
            </w:r>
          </w:p>
        </w:tc>
        <w:tc>
          <w:tcPr>
            <w:tcW w:w="1725" w:type="dxa"/>
            <w:hideMark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–0.222 to </w:t>
            </w:r>
            <w:r w:rsidRPr="00303AD7">
              <w:rPr>
                <w:color w:val="000000"/>
                <w:sz w:val="20"/>
                <w:szCs w:val="20"/>
              </w:rPr>
              <w:t>–0.041</w:t>
            </w:r>
          </w:p>
        </w:tc>
      </w:tr>
      <w:tr w:rsidR="00C82367" w:rsidRPr="00D94A45" w:rsidTr="00AE1601">
        <w:trPr>
          <w:trHeight w:val="455"/>
        </w:trPr>
        <w:tc>
          <w:tcPr>
            <w:tcW w:w="0" w:type="auto"/>
            <w:vMerge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40 </w:t>
            </w:r>
            <w:proofErr w:type="spellStart"/>
            <w:r w:rsidRPr="00303AD7">
              <w:rPr>
                <w:color w:val="000000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019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0.1</w:t>
            </w:r>
          </w:p>
        </w:tc>
        <w:tc>
          <w:tcPr>
            <w:tcW w:w="1258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0.1</w:t>
            </w:r>
          </w:p>
        </w:tc>
        <w:tc>
          <w:tcPr>
            <w:tcW w:w="767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077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1480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0.981 to 1.056</w:t>
            </w:r>
          </w:p>
        </w:tc>
        <w:tc>
          <w:tcPr>
            <w:tcW w:w="1725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0.079 to 0.153</w:t>
            </w:r>
          </w:p>
        </w:tc>
      </w:tr>
      <w:tr w:rsidR="00C82367" w:rsidRPr="00D94A45" w:rsidTr="00AE1601">
        <w:trPr>
          <w:trHeight w:val="602"/>
        </w:trPr>
        <w:tc>
          <w:tcPr>
            <w:tcW w:w="0" w:type="auto"/>
            <w:vMerge w:val="restart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CLL</w:t>
            </w:r>
          </w:p>
        </w:tc>
        <w:tc>
          <w:tcPr>
            <w:tcW w:w="945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200 ng</w:t>
            </w:r>
          </w:p>
        </w:tc>
        <w:tc>
          <w:tcPr>
            <w:tcW w:w="1019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1</w:t>
            </w:r>
          </w:p>
        </w:tc>
        <w:tc>
          <w:tcPr>
            <w:tcW w:w="1258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1</w:t>
            </w:r>
          </w:p>
        </w:tc>
        <w:tc>
          <w:tcPr>
            <w:tcW w:w="767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077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480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sz w:val="20"/>
                <w:szCs w:val="20"/>
              </w:rPr>
              <w:t>0.978 to 1.011</w:t>
            </w:r>
          </w:p>
        </w:tc>
        <w:tc>
          <w:tcPr>
            <w:tcW w:w="1725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sz w:val="20"/>
                <w:szCs w:val="20"/>
              </w:rPr>
              <w:t>–0.045 to 0.129</w:t>
            </w:r>
          </w:p>
        </w:tc>
      </w:tr>
      <w:tr w:rsidR="00C82367" w:rsidRPr="00D94A45" w:rsidTr="00AE1601">
        <w:trPr>
          <w:trHeight w:val="602"/>
        </w:trPr>
        <w:tc>
          <w:tcPr>
            <w:tcW w:w="0" w:type="auto"/>
            <w:vMerge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303AD7">
              <w:rPr>
                <w:color w:val="000000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019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1</w:t>
            </w:r>
          </w:p>
        </w:tc>
        <w:tc>
          <w:tcPr>
            <w:tcW w:w="1258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0.1</w:t>
            </w:r>
          </w:p>
        </w:tc>
        <w:tc>
          <w:tcPr>
            <w:tcW w:w="767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1077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80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sz w:val="20"/>
                <w:szCs w:val="20"/>
              </w:rPr>
              <w:t>0.998 to 1.016</w:t>
            </w:r>
          </w:p>
        </w:tc>
        <w:tc>
          <w:tcPr>
            <w:tcW w:w="1725" w:type="dxa"/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sz w:val="20"/>
                <w:szCs w:val="20"/>
              </w:rPr>
              <w:t>–0.045 to 0.161</w:t>
            </w:r>
          </w:p>
        </w:tc>
      </w:tr>
      <w:tr w:rsidR="00C82367" w:rsidRPr="00D94A45" w:rsidTr="00AE1601">
        <w:trPr>
          <w:trHeight w:val="309"/>
        </w:trPr>
        <w:tc>
          <w:tcPr>
            <w:tcW w:w="0" w:type="auto"/>
            <w:vMerge/>
            <w:tcBorders>
              <w:bottom w:val="single" w:sz="12" w:space="0" w:color="auto"/>
            </w:tcBorders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single" w:sz="12" w:space="0" w:color="auto"/>
            </w:tcBorders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20 </w:t>
            </w:r>
            <w:proofErr w:type="spellStart"/>
            <w:r w:rsidRPr="00303AD7">
              <w:rPr>
                <w:color w:val="000000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019" w:type="dxa"/>
            <w:tcBorders>
              <w:bottom w:val="single" w:sz="12" w:space="0" w:color="auto"/>
            </w:tcBorders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0.1</w:t>
            </w:r>
          </w:p>
        </w:tc>
        <w:tc>
          <w:tcPr>
            <w:tcW w:w="1258" w:type="dxa"/>
            <w:tcBorders>
              <w:bottom w:val="single" w:sz="12" w:space="0" w:color="auto"/>
            </w:tcBorders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 to 1</w:t>
            </w:r>
          </w:p>
        </w:tc>
        <w:tc>
          <w:tcPr>
            <w:tcW w:w="767" w:type="dxa"/>
            <w:tcBorders>
              <w:bottom w:val="single" w:sz="12" w:space="0" w:color="auto"/>
            </w:tcBorders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077" w:type="dxa"/>
            <w:tcBorders>
              <w:bottom w:val="single" w:sz="12" w:space="0" w:color="auto"/>
            </w:tcBorders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–0.033</w:t>
            </w:r>
          </w:p>
        </w:tc>
        <w:tc>
          <w:tcPr>
            <w:tcW w:w="1480" w:type="dxa"/>
            <w:tcBorders>
              <w:bottom w:val="single" w:sz="12" w:space="0" w:color="auto"/>
            </w:tcBorders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sz w:val="20"/>
                <w:szCs w:val="20"/>
              </w:rPr>
              <w:t>0.974 to 1.019</w:t>
            </w:r>
          </w:p>
        </w:tc>
        <w:tc>
          <w:tcPr>
            <w:tcW w:w="1725" w:type="dxa"/>
            <w:tcBorders>
              <w:bottom w:val="single" w:sz="12" w:space="0" w:color="auto"/>
            </w:tcBorders>
          </w:tcPr>
          <w:p w:rsidR="00C82367" w:rsidRPr="00303AD7" w:rsidRDefault="00C82367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sz w:val="20"/>
                <w:szCs w:val="20"/>
              </w:rPr>
              <w:t>–0.159 to 0.111</w:t>
            </w:r>
          </w:p>
        </w:tc>
      </w:tr>
    </w:tbl>
    <w:p w:rsidR="00C82367" w:rsidRPr="00303AD7" w:rsidRDefault="00C82367" w:rsidP="00C82367">
      <w:pPr>
        <w:widowControl w:val="0"/>
        <w:spacing w:before="29"/>
        <w:ind w:right="-20"/>
        <w:rPr>
          <w:sz w:val="20"/>
          <w:szCs w:val="18"/>
        </w:rPr>
      </w:pPr>
      <w:proofErr w:type="gramStart"/>
      <w:r w:rsidRPr="00303AD7">
        <w:rPr>
          <w:rFonts w:eastAsia="Calibri"/>
          <w:i/>
        </w:rPr>
        <w:t>ALL</w:t>
      </w:r>
      <w:r w:rsidRPr="00303AD7">
        <w:rPr>
          <w:rFonts w:eastAsia="Calibri"/>
        </w:rPr>
        <w:t xml:space="preserve"> acute lymphoblastic leukemia, </w:t>
      </w:r>
      <w:r w:rsidRPr="00303AD7">
        <w:rPr>
          <w:rFonts w:eastAsia="Calibri"/>
          <w:i/>
        </w:rPr>
        <w:t>CLL</w:t>
      </w:r>
      <w:r w:rsidRPr="00303AD7">
        <w:rPr>
          <w:rFonts w:eastAsia="Calibri"/>
        </w:rPr>
        <w:t xml:space="preserve"> chronic lymphocytic leukemia, </w:t>
      </w:r>
      <w:r w:rsidRPr="00303AD7">
        <w:rPr>
          <w:rFonts w:eastAsia="Calibri"/>
          <w:i/>
        </w:rPr>
        <w:t>MM</w:t>
      </w:r>
      <w:r w:rsidRPr="00303AD7">
        <w:rPr>
          <w:rFonts w:eastAsia="Calibri"/>
        </w:rPr>
        <w:t xml:space="preserve"> multiple myeloma</w:t>
      </w:r>
      <w:r>
        <w:rPr>
          <w:rFonts w:eastAsia="Calibri"/>
        </w:rPr>
        <w:t>,</w:t>
      </w:r>
      <w:r w:rsidRPr="00303AD7">
        <w:rPr>
          <w:rFonts w:eastAsia="Calibri"/>
        </w:rPr>
        <w:t xml:space="preserve"> </w:t>
      </w:r>
      <w:r w:rsidRPr="003B71D4">
        <w:rPr>
          <w:rFonts w:eastAsia="Calibri"/>
          <w:i/>
        </w:rPr>
        <w:t>MRD</w:t>
      </w:r>
      <w:r w:rsidRPr="003B71D4">
        <w:rPr>
          <w:rFonts w:eastAsia="Calibri"/>
        </w:rPr>
        <w:t xml:space="preserve"> minimal residual disease</w:t>
      </w:r>
      <w:r w:rsidRPr="00303AD7">
        <w:rPr>
          <w:rFonts w:eastAsia="Calibri"/>
        </w:rPr>
        <w:t>.</w:t>
      </w:r>
      <w:proofErr w:type="gramEnd"/>
    </w:p>
    <w:p w:rsidR="00134F40" w:rsidRPr="00C82367" w:rsidRDefault="00134F40" w:rsidP="00C82367">
      <w:bookmarkStart w:id="0" w:name="_GoBack"/>
      <w:bookmarkEnd w:id="0"/>
    </w:p>
    <w:sectPr w:rsidR="00134F40" w:rsidRPr="00C823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F40"/>
    <w:rsid w:val="00134F40"/>
    <w:rsid w:val="004C0BAE"/>
    <w:rsid w:val="008E750C"/>
    <w:rsid w:val="009017F4"/>
    <w:rsid w:val="00B12BCE"/>
    <w:rsid w:val="00B5399D"/>
    <w:rsid w:val="00BD00A4"/>
    <w:rsid w:val="00C82367"/>
    <w:rsid w:val="00F0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F4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1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7F4"/>
    <w:rPr>
      <w:rFonts w:ascii="Tahoma" w:hAnsi="Tahoma" w:cs="Tahoma"/>
      <w:sz w:val="16"/>
      <w:szCs w:val="16"/>
    </w:rPr>
  </w:style>
  <w:style w:type="paragraph" w:customStyle="1" w:styleId="BodyText12">
    <w:name w:val="Body Text 12"/>
    <w:link w:val="BodyText12Char"/>
    <w:uiPriority w:val="99"/>
    <w:qFormat/>
    <w:rsid w:val="008E750C"/>
    <w:pPr>
      <w:spacing w:after="240" w:line="264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12Char">
    <w:name w:val="Body Text 12 Char"/>
    <w:basedOn w:val="DefaultParagraphFont"/>
    <w:link w:val="BodyText12"/>
    <w:uiPriority w:val="99"/>
    <w:locked/>
    <w:rsid w:val="008E750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aption">
    <w:name w:val="caption"/>
    <w:aliases w:val="Bayer Caption,Medical Caption,IB Caption,NDA"/>
    <w:next w:val="Normal"/>
    <w:link w:val="CaptionChar"/>
    <w:uiPriority w:val="35"/>
    <w:qFormat/>
    <w:rsid w:val="00BD00A4"/>
    <w:pPr>
      <w:keepNext/>
      <w:tabs>
        <w:tab w:val="left" w:pos="1152"/>
      </w:tabs>
      <w:spacing w:before="60" w:after="60" w:line="240" w:lineRule="auto"/>
      <w:ind w:left="1152" w:hanging="1152"/>
    </w:pPr>
    <w:rPr>
      <w:rFonts w:eastAsia="Times New Roman" w:cs="Times New Roman"/>
      <w:b/>
      <w:bCs/>
      <w:szCs w:val="18"/>
      <w:lang w:val="en-US"/>
    </w:rPr>
  </w:style>
  <w:style w:type="character" w:customStyle="1" w:styleId="CaptionChar">
    <w:name w:val="Caption Char"/>
    <w:aliases w:val="Bayer Caption Char,Medical Caption Char,IB Caption Char,NDA Char"/>
    <w:link w:val="Caption"/>
    <w:uiPriority w:val="35"/>
    <w:rsid w:val="00BD00A4"/>
    <w:rPr>
      <w:rFonts w:eastAsia="Times New Roman" w:cs="Times New Roman"/>
      <w:b/>
      <w:bCs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F4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1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7F4"/>
    <w:rPr>
      <w:rFonts w:ascii="Tahoma" w:hAnsi="Tahoma" w:cs="Tahoma"/>
      <w:sz w:val="16"/>
      <w:szCs w:val="16"/>
    </w:rPr>
  </w:style>
  <w:style w:type="paragraph" w:customStyle="1" w:styleId="BodyText12">
    <w:name w:val="Body Text 12"/>
    <w:link w:val="BodyText12Char"/>
    <w:uiPriority w:val="99"/>
    <w:qFormat/>
    <w:rsid w:val="008E750C"/>
    <w:pPr>
      <w:spacing w:after="240" w:line="264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12Char">
    <w:name w:val="Body Text 12 Char"/>
    <w:basedOn w:val="DefaultParagraphFont"/>
    <w:link w:val="BodyText12"/>
    <w:uiPriority w:val="99"/>
    <w:locked/>
    <w:rsid w:val="008E750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aption">
    <w:name w:val="caption"/>
    <w:aliases w:val="Bayer Caption,Medical Caption,IB Caption,NDA"/>
    <w:next w:val="Normal"/>
    <w:link w:val="CaptionChar"/>
    <w:uiPriority w:val="35"/>
    <w:qFormat/>
    <w:rsid w:val="00BD00A4"/>
    <w:pPr>
      <w:keepNext/>
      <w:tabs>
        <w:tab w:val="left" w:pos="1152"/>
      </w:tabs>
      <w:spacing w:before="60" w:after="60" w:line="240" w:lineRule="auto"/>
      <w:ind w:left="1152" w:hanging="1152"/>
    </w:pPr>
    <w:rPr>
      <w:rFonts w:eastAsia="Times New Roman" w:cs="Times New Roman"/>
      <w:b/>
      <w:bCs/>
      <w:szCs w:val="18"/>
      <w:lang w:val="en-US"/>
    </w:rPr>
  </w:style>
  <w:style w:type="character" w:customStyle="1" w:styleId="CaptionChar">
    <w:name w:val="Caption Char"/>
    <w:aliases w:val="Bayer Caption Char,Medical Caption Char,IB Caption Char,NDA Char"/>
    <w:link w:val="Caption"/>
    <w:uiPriority w:val="35"/>
    <w:rsid w:val="00BD00A4"/>
    <w:rPr>
      <w:rFonts w:eastAsia="Times New Roman" w:cs="Times New Roman"/>
      <w:b/>
      <w:bCs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97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2020-06-16T17:50:00Z</dcterms:created>
  <dcterms:modified xsi:type="dcterms:W3CDTF">2020-06-16T17:50:00Z</dcterms:modified>
</cp:coreProperties>
</file>