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D11" w:rsidRDefault="00365D11" w:rsidP="00365D11">
      <w:pPr>
        <w:rPr>
          <w:bCs/>
        </w:rPr>
      </w:pPr>
      <w:r>
        <w:rPr>
          <w:bCs/>
        </w:rPr>
        <w:t>Additional file 9</w:t>
      </w:r>
    </w:p>
    <w:p w:rsidR="00365D11" w:rsidRDefault="00365D11" w:rsidP="00365D11">
      <w:pPr>
        <w:rPr>
          <w:bCs/>
        </w:rPr>
      </w:pPr>
    </w:p>
    <w:p w:rsidR="00365D11" w:rsidRPr="0095265D" w:rsidRDefault="00365D11" w:rsidP="00365D11">
      <w:pPr>
        <w:pStyle w:val="BodyText12"/>
        <w:spacing w:after="0" w:line="480" w:lineRule="auto"/>
        <w:jc w:val="left"/>
        <w:rPr>
          <w:szCs w:val="24"/>
        </w:rPr>
      </w:pPr>
      <w:r w:rsidRPr="009E5B43">
        <w:rPr>
          <w:b/>
          <w:szCs w:val="24"/>
        </w:rPr>
        <w:t xml:space="preserve">Table </w:t>
      </w:r>
      <w:r>
        <w:rPr>
          <w:b/>
          <w:szCs w:val="24"/>
        </w:rPr>
        <w:t>S6</w:t>
      </w:r>
      <w:r w:rsidRPr="009E5B43">
        <w:rPr>
          <w:b/>
          <w:szCs w:val="24"/>
        </w:rPr>
        <w:t xml:space="preserve"> </w:t>
      </w:r>
      <w:r w:rsidRPr="009E5B43">
        <w:rPr>
          <w:szCs w:val="24"/>
        </w:rPr>
        <w:t xml:space="preserve">Linearity of the </w:t>
      </w:r>
      <w:proofErr w:type="spellStart"/>
      <w:r w:rsidRPr="009E5B43">
        <w:rPr>
          <w:szCs w:val="24"/>
        </w:rPr>
        <w:t>clonoSEQ</w:t>
      </w:r>
      <w:proofErr w:type="spellEnd"/>
      <w:r w:rsidRPr="009E5B43">
        <w:rPr>
          <w:szCs w:val="24"/>
        </w:rPr>
        <w:t xml:space="preserve"> Assay using clinical specimens from patients with ALL, CLL, and MM</w:t>
      </w:r>
    </w:p>
    <w:tbl>
      <w:tblPr>
        <w:tblW w:w="9356" w:type="dxa"/>
        <w:tblCellMar>
          <w:left w:w="144" w:type="dxa"/>
          <w:right w:w="144" w:type="dxa"/>
        </w:tblCellMar>
        <w:tblLook w:val="04A0" w:firstRow="1" w:lastRow="0" w:firstColumn="1" w:lastColumn="0" w:noHBand="0" w:noVBand="1"/>
      </w:tblPr>
      <w:tblGrid>
        <w:gridCol w:w="1225"/>
        <w:gridCol w:w="946"/>
        <w:gridCol w:w="1026"/>
        <w:gridCol w:w="1259"/>
        <w:gridCol w:w="755"/>
        <w:gridCol w:w="1077"/>
        <w:gridCol w:w="1518"/>
        <w:gridCol w:w="1550"/>
      </w:tblGrid>
      <w:tr w:rsidR="00365D11" w:rsidRPr="00E95768" w:rsidTr="00AE1601">
        <w:trPr>
          <w:trHeight w:val="321"/>
        </w:trPr>
        <w:tc>
          <w:tcPr>
            <w:tcW w:w="1225" w:type="dxa"/>
            <w:tcBorders>
              <w:top w:val="single" w:sz="12" w:space="0" w:color="auto"/>
            </w:tcBorders>
            <w:hideMark/>
          </w:tcPr>
          <w:p w:rsidR="00365D11" w:rsidRPr="00303AD7" w:rsidRDefault="00365D11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single" w:sz="12" w:space="0" w:color="auto"/>
            </w:tcBorders>
            <w:hideMark/>
          </w:tcPr>
          <w:p w:rsidR="00365D11" w:rsidRPr="00303AD7" w:rsidRDefault="00365D11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single" w:sz="12" w:space="0" w:color="auto"/>
            </w:tcBorders>
            <w:hideMark/>
          </w:tcPr>
          <w:p w:rsidR="00365D11" w:rsidRPr="00303AD7" w:rsidRDefault="00365D11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1" w:type="dxa"/>
            <w:gridSpan w:val="3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365D11" w:rsidRPr="00303AD7" w:rsidRDefault="00365D11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Combined analysis</w:t>
            </w:r>
          </w:p>
        </w:tc>
        <w:tc>
          <w:tcPr>
            <w:tcW w:w="3068" w:type="dxa"/>
            <w:gridSpan w:val="2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365D11" w:rsidRPr="00303AD7" w:rsidRDefault="00365D11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Summary of individual patient analyses</w:t>
            </w:r>
          </w:p>
        </w:tc>
      </w:tr>
      <w:tr w:rsidR="00365D11" w:rsidRPr="00E95768" w:rsidTr="00AE1601">
        <w:trPr>
          <w:trHeight w:val="602"/>
        </w:trPr>
        <w:tc>
          <w:tcPr>
            <w:tcW w:w="1225" w:type="dxa"/>
            <w:tcBorders>
              <w:top w:val="nil"/>
              <w:bottom w:val="single" w:sz="12" w:space="0" w:color="auto"/>
            </w:tcBorders>
            <w:hideMark/>
          </w:tcPr>
          <w:p w:rsidR="00365D11" w:rsidRPr="00303AD7" w:rsidRDefault="00365D11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Disease indication</w:t>
            </w:r>
          </w:p>
        </w:tc>
        <w:tc>
          <w:tcPr>
            <w:tcW w:w="946" w:type="dxa"/>
            <w:tcBorders>
              <w:top w:val="nil"/>
              <w:bottom w:val="single" w:sz="12" w:space="0" w:color="auto"/>
            </w:tcBorders>
            <w:hideMark/>
          </w:tcPr>
          <w:p w:rsidR="00365D11" w:rsidRPr="00303AD7" w:rsidRDefault="00365D11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Input DNA</w:t>
            </w:r>
          </w:p>
        </w:tc>
        <w:tc>
          <w:tcPr>
            <w:tcW w:w="1026" w:type="dxa"/>
            <w:tcBorders>
              <w:top w:val="nil"/>
              <w:bottom w:val="single" w:sz="12" w:space="0" w:color="auto"/>
            </w:tcBorders>
            <w:hideMark/>
          </w:tcPr>
          <w:p w:rsidR="00365D11" w:rsidRPr="00303AD7" w:rsidRDefault="00365D11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bCs/>
                <w:color w:val="000000"/>
                <w:sz w:val="20"/>
                <w:szCs w:val="20"/>
              </w:rPr>
              <w:t>Tested range</w:t>
            </w:r>
          </w:p>
        </w:tc>
        <w:tc>
          <w:tcPr>
            <w:tcW w:w="1259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365D11" w:rsidRPr="00303AD7" w:rsidRDefault="00365D11" w:rsidP="00AE1601">
            <w:pPr>
              <w:rPr>
                <w:bCs/>
                <w:color w:val="000000"/>
                <w:sz w:val="20"/>
                <w:szCs w:val="20"/>
              </w:rPr>
            </w:pPr>
            <w:r w:rsidRPr="00303AD7">
              <w:rPr>
                <w:bCs/>
                <w:color w:val="000000"/>
                <w:sz w:val="20"/>
                <w:szCs w:val="20"/>
              </w:rPr>
              <w:t>Linear range</w:t>
            </w:r>
          </w:p>
          <w:p w:rsidR="00365D11" w:rsidRPr="00303AD7" w:rsidRDefault="00365D11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bCs/>
                <w:color w:val="000000"/>
                <w:sz w:val="20"/>
                <w:szCs w:val="20"/>
              </w:rPr>
              <w:t>(MRD frequency)</w:t>
            </w:r>
          </w:p>
        </w:tc>
        <w:tc>
          <w:tcPr>
            <w:tcW w:w="755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365D11" w:rsidRPr="00303AD7" w:rsidRDefault="00365D11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Slope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365D11" w:rsidRPr="00303AD7" w:rsidRDefault="00365D11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1518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365D11" w:rsidRPr="00303AD7" w:rsidRDefault="00365D11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Slope range</w:t>
            </w:r>
          </w:p>
        </w:tc>
        <w:tc>
          <w:tcPr>
            <w:tcW w:w="155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365D11" w:rsidRPr="00303AD7" w:rsidRDefault="00365D11" w:rsidP="00AE1601">
            <w:pPr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Intercept range</w:t>
            </w:r>
          </w:p>
        </w:tc>
      </w:tr>
      <w:tr w:rsidR="00365D11" w:rsidRPr="00E95768" w:rsidTr="00AE1601">
        <w:trPr>
          <w:trHeight w:val="943"/>
        </w:trPr>
        <w:tc>
          <w:tcPr>
            <w:tcW w:w="1225" w:type="dxa"/>
            <w:vMerge w:val="restart"/>
            <w:tcBorders>
              <w:top w:val="single" w:sz="12" w:space="0" w:color="auto"/>
            </w:tcBorders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ALL</w:t>
            </w:r>
          </w:p>
        </w:tc>
        <w:tc>
          <w:tcPr>
            <w:tcW w:w="946" w:type="dxa"/>
            <w:tcBorders>
              <w:top w:val="single" w:sz="12" w:space="0" w:color="auto"/>
            </w:tcBorders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500 ng</w:t>
            </w:r>
          </w:p>
        </w:tc>
        <w:tc>
          <w:tcPr>
            <w:tcW w:w="1026" w:type="dxa"/>
            <w:tcBorders>
              <w:top w:val="single" w:sz="12" w:space="0" w:color="auto"/>
            </w:tcBorders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2.8x10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 xml:space="preserve">-5 </w:t>
            </w:r>
            <w:r w:rsidRPr="00303AD7">
              <w:rPr>
                <w:color w:val="000000"/>
                <w:sz w:val="20"/>
                <w:szCs w:val="20"/>
              </w:rPr>
              <w:t>to 8.0x10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259" w:type="dxa"/>
            <w:tcBorders>
              <w:top w:val="single" w:sz="12" w:space="0" w:color="auto"/>
            </w:tcBorders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2.8x10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-5</w:t>
            </w:r>
            <w:r w:rsidRPr="00303AD7">
              <w:rPr>
                <w:color w:val="000000"/>
                <w:sz w:val="20"/>
                <w:szCs w:val="20"/>
              </w:rPr>
              <w:t xml:space="preserve"> to 8.0x10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755" w:type="dxa"/>
            <w:tcBorders>
              <w:top w:val="single" w:sz="12" w:space="0" w:color="auto"/>
            </w:tcBorders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sz w:val="20"/>
              </w:rPr>
              <w:t>0.948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sz w:val="20"/>
              </w:rPr>
              <w:t>–0.214</w:t>
            </w:r>
          </w:p>
        </w:tc>
        <w:tc>
          <w:tcPr>
            <w:tcW w:w="1518" w:type="dxa"/>
            <w:tcBorders>
              <w:top w:val="single" w:sz="12" w:space="0" w:color="auto"/>
            </w:tcBorders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0.853 to 1.073</w:t>
            </w:r>
          </w:p>
        </w:tc>
        <w:tc>
          <w:tcPr>
            <w:tcW w:w="1550" w:type="dxa"/>
            <w:tcBorders>
              <w:top w:val="single" w:sz="12" w:space="0" w:color="auto"/>
            </w:tcBorders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–0.461 to 0.018</w:t>
            </w:r>
          </w:p>
        </w:tc>
      </w:tr>
      <w:tr w:rsidR="00365D11" w:rsidRPr="00E95768" w:rsidTr="00AE1601">
        <w:trPr>
          <w:trHeight w:val="943"/>
        </w:trPr>
        <w:tc>
          <w:tcPr>
            <w:tcW w:w="1225" w:type="dxa"/>
            <w:vMerge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303AD7">
              <w:rPr>
                <w:color w:val="000000"/>
                <w:sz w:val="20"/>
                <w:szCs w:val="20"/>
              </w:rPr>
              <w:t>μg</w:t>
            </w:r>
            <w:proofErr w:type="spellEnd"/>
          </w:p>
        </w:tc>
        <w:tc>
          <w:tcPr>
            <w:tcW w:w="1026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7.0x10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-6</w:t>
            </w:r>
            <w:r w:rsidRPr="00303AD7">
              <w:rPr>
                <w:color w:val="000000"/>
                <w:sz w:val="20"/>
                <w:szCs w:val="20"/>
              </w:rPr>
              <w:t xml:space="preserve"> to 2.0x10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259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7.0x10 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-6</w:t>
            </w:r>
            <w:r w:rsidRPr="00303AD7">
              <w:rPr>
                <w:color w:val="000000"/>
                <w:sz w:val="20"/>
                <w:szCs w:val="20"/>
              </w:rPr>
              <w:t xml:space="preserve"> to 2.0x10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755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sz w:val="20"/>
              </w:rPr>
              <w:t>0.985</w:t>
            </w:r>
          </w:p>
        </w:tc>
        <w:tc>
          <w:tcPr>
            <w:tcW w:w="1077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sz w:val="20"/>
              </w:rPr>
              <w:t>–0.074</w:t>
            </w:r>
          </w:p>
        </w:tc>
        <w:tc>
          <w:tcPr>
            <w:tcW w:w="1518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0.909 to 1.076</w:t>
            </w:r>
          </w:p>
        </w:tc>
        <w:tc>
          <w:tcPr>
            <w:tcW w:w="1550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–0.757 to 0.233</w:t>
            </w:r>
          </w:p>
        </w:tc>
      </w:tr>
      <w:tr w:rsidR="00365D11" w:rsidRPr="00E95768" w:rsidTr="00AE1601">
        <w:trPr>
          <w:trHeight w:val="943"/>
        </w:trPr>
        <w:tc>
          <w:tcPr>
            <w:tcW w:w="1225" w:type="dxa"/>
            <w:vMerge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20 </w:t>
            </w:r>
            <w:proofErr w:type="spellStart"/>
            <w:r w:rsidRPr="00303AD7">
              <w:rPr>
                <w:color w:val="000000"/>
                <w:sz w:val="20"/>
                <w:szCs w:val="20"/>
              </w:rPr>
              <w:t>μg</w:t>
            </w:r>
            <w:proofErr w:type="spellEnd"/>
          </w:p>
        </w:tc>
        <w:tc>
          <w:tcPr>
            <w:tcW w:w="1026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7.0x10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-7</w:t>
            </w:r>
            <w:r w:rsidRPr="00303AD7">
              <w:rPr>
                <w:color w:val="000000"/>
                <w:sz w:val="20"/>
                <w:szCs w:val="20"/>
              </w:rPr>
              <w:t xml:space="preserve"> to 2.0x10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-4</w:t>
            </w:r>
            <w:r w:rsidRPr="00303AD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59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7.0x10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-7</w:t>
            </w:r>
            <w:r w:rsidRPr="00303AD7">
              <w:rPr>
                <w:color w:val="000000"/>
                <w:sz w:val="20"/>
                <w:szCs w:val="20"/>
              </w:rPr>
              <w:t xml:space="preserve"> to 2.0x10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755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sz w:val="20"/>
              </w:rPr>
              <w:t>0.978</w:t>
            </w:r>
          </w:p>
        </w:tc>
        <w:tc>
          <w:tcPr>
            <w:tcW w:w="1077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sz w:val="20"/>
              </w:rPr>
              <w:t>–0.101</w:t>
            </w:r>
          </w:p>
        </w:tc>
        <w:tc>
          <w:tcPr>
            <w:tcW w:w="1518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0.859 to 1.029</w:t>
            </w:r>
          </w:p>
        </w:tc>
        <w:tc>
          <w:tcPr>
            <w:tcW w:w="1550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–1.018 to 0.336</w:t>
            </w:r>
          </w:p>
        </w:tc>
      </w:tr>
      <w:tr w:rsidR="00365D11" w:rsidRPr="00E95768" w:rsidTr="00AE1601">
        <w:trPr>
          <w:trHeight w:val="943"/>
        </w:trPr>
        <w:tc>
          <w:tcPr>
            <w:tcW w:w="1225" w:type="dxa"/>
            <w:vMerge w:val="restart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MM</w:t>
            </w:r>
          </w:p>
        </w:tc>
        <w:tc>
          <w:tcPr>
            <w:tcW w:w="946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500 ng</w:t>
            </w:r>
          </w:p>
        </w:tc>
        <w:tc>
          <w:tcPr>
            <w:tcW w:w="1026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2.8x10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 xml:space="preserve">-5 </w:t>
            </w:r>
            <w:r w:rsidRPr="00303AD7">
              <w:rPr>
                <w:color w:val="000000"/>
                <w:sz w:val="20"/>
                <w:szCs w:val="20"/>
              </w:rPr>
              <w:t>to 8.0x10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259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2.8x10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-5</w:t>
            </w:r>
            <w:r w:rsidRPr="00303AD7">
              <w:rPr>
                <w:color w:val="000000"/>
                <w:sz w:val="20"/>
                <w:szCs w:val="20"/>
              </w:rPr>
              <w:t xml:space="preserve"> to 8.0x10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755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sz w:val="20"/>
              </w:rPr>
              <w:t>0.962</w:t>
            </w:r>
          </w:p>
        </w:tc>
        <w:tc>
          <w:tcPr>
            <w:tcW w:w="1077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sz w:val="20"/>
              </w:rPr>
              <w:t>–0.143</w:t>
            </w:r>
          </w:p>
        </w:tc>
        <w:tc>
          <w:tcPr>
            <w:tcW w:w="1518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0.853 to 1.148</w:t>
            </w:r>
          </w:p>
        </w:tc>
        <w:tc>
          <w:tcPr>
            <w:tcW w:w="1550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–0.462 to 0.183</w:t>
            </w:r>
          </w:p>
        </w:tc>
      </w:tr>
      <w:tr w:rsidR="00365D11" w:rsidRPr="00E95768" w:rsidTr="00AE1601">
        <w:trPr>
          <w:trHeight w:val="943"/>
        </w:trPr>
        <w:tc>
          <w:tcPr>
            <w:tcW w:w="1225" w:type="dxa"/>
            <w:vMerge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303AD7">
              <w:rPr>
                <w:color w:val="000000"/>
                <w:sz w:val="20"/>
                <w:szCs w:val="20"/>
              </w:rPr>
              <w:t>μg</w:t>
            </w:r>
            <w:proofErr w:type="spellEnd"/>
          </w:p>
        </w:tc>
        <w:tc>
          <w:tcPr>
            <w:tcW w:w="1026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7.0x10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-6</w:t>
            </w:r>
            <w:r w:rsidRPr="00303AD7">
              <w:rPr>
                <w:color w:val="000000"/>
                <w:sz w:val="20"/>
                <w:szCs w:val="20"/>
              </w:rPr>
              <w:t xml:space="preserve"> to 2.0x10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259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7.0x10 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-6</w:t>
            </w:r>
            <w:r w:rsidRPr="00303AD7">
              <w:rPr>
                <w:color w:val="000000"/>
                <w:sz w:val="20"/>
                <w:szCs w:val="20"/>
              </w:rPr>
              <w:t xml:space="preserve"> to 2.0x10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755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sz w:val="20"/>
              </w:rPr>
              <w:t>0.986</w:t>
            </w:r>
          </w:p>
        </w:tc>
        <w:tc>
          <w:tcPr>
            <w:tcW w:w="1077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sz w:val="20"/>
              </w:rPr>
              <w:t>–0.04</w:t>
            </w:r>
          </w:p>
        </w:tc>
        <w:tc>
          <w:tcPr>
            <w:tcW w:w="1518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0.924 to 1.068</w:t>
            </w:r>
          </w:p>
        </w:tc>
        <w:tc>
          <w:tcPr>
            <w:tcW w:w="1550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–0.341 to 0.246</w:t>
            </w:r>
          </w:p>
        </w:tc>
      </w:tr>
      <w:tr w:rsidR="00365D11" w:rsidRPr="00E95768" w:rsidTr="00AE1601">
        <w:trPr>
          <w:trHeight w:val="943"/>
        </w:trPr>
        <w:tc>
          <w:tcPr>
            <w:tcW w:w="1225" w:type="dxa"/>
            <w:vMerge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20 </w:t>
            </w:r>
            <w:proofErr w:type="spellStart"/>
            <w:r w:rsidRPr="00303AD7">
              <w:rPr>
                <w:color w:val="000000"/>
                <w:sz w:val="20"/>
                <w:szCs w:val="20"/>
              </w:rPr>
              <w:t>μg</w:t>
            </w:r>
            <w:proofErr w:type="spellEnd"/>
          </w:p>
        </w:tc>
        <w:tc>
          <w:tcPr>
            <w:tcW w:w="1026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7.0x10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-7</w:t>
            </w:r>
            <w:r w:rsidRPr="00303AD7">
              <w:rPr>
                <w:color w:val="000000"/>
                <w:sz w:val="20"/>
                <w:szCs w:val="20"/>
              </w:rPr>
              <w:t xml:space="preserve"> to 2.0x10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259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7.0x10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-7</w:t>
            </w:r>
            <w:r w:rsidRPr="00303AD7">
              <w:rPr>
                <w:color w:val="000000"/>
                <w:sz w:val="20"/>
                <w:szCs w:val="20"/>
              </w:rPr>
              <w:t xml:space="preserve"> to 2.0x10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755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sz w:val="20"/>
              </w:rPr>
              <w:t>0.985</w:t>
            </w:r>
          </w:p>
        </w:tc>
        <w:tc>
          <w:tcPr>
            <w:tcW w:w="1077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sz w:val="20"/>
              </w:rPr>
              <w:t>–0.034</w:t>
            </w:r>
          </w:p>
        </w:tc>
        <w:tc>
          <w:tcPr>
            <w:tcW w:w="1518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0.933 to 1.075</w:t>
            </w:r>
          </w:p>
        </w:tc>
        <w:tc>
          <w:tcPr>
            <w:tcW w:w="1550" w:type="dxa"/>
            <w:hideMark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–0.419 to 0.611</w:t>
            </w:r>
          </w:p>
        </w:tc>
      </w:tr>
      <w:tr w:rsidR="00365D11" w:rsidRPr="00E95768" w:rsidTr="00AE1601">
        <w:trPr>
          <w:trHeight w:val="943"/>
        </w:trPr>
        <w:tc>
          <w:tcPr>
            <w:tcW w:w="1225" w:type="dxa"/>
            <w:vMerge w:val="restart"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CLL</w:t>
            </w:r>
          </w:p>
        </w:tc>
        <w:tc>
          <w:tcPr>
            <w:tcW w:w="946" w:type="dxa"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500 ng</w:t>
            </w:r>
          </w:p>
        </w:tc>
        <w:tc>
          <w:tcPr>
            <w:tcW w:w="1026" w:type="dxa"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2.8x10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 xml:space="preserve">-5 </w:t>
            </w:r>
            <w:r w:rsidRPr="00303AD7">
              <w:rPr>
                <w:color w:val="000000"/>
                <w:sz w:val="20"/>
                <w:szCs w:val="20"/>
              </w:rPr>
              <w:t>to 8.0x10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259" w:type="dxa"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2.8x10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-5</w:t>
            </w:r>
            <w:r w:rsidRPr="00303AD7">
              <w:rPr>
                <w:color w:val="000000"/>
                <w:sz w:val="20"/>
                <w:szCs w:val="20"/>
              </w:rPr>
              <w:t xml:space="preserve"> to 8.0x10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755" w:type="dxa"/>
          </w:tcPr>
          <w:p w:rsidR="00365D11" w:rsidRPr="00303AD7" w:rsidRDefault="00365D11" w:rsidP="00AE1601">
            <w:pPr>
              <w:spacing w:after="240"/>
              <w:rPr>
                <w:sz w:val="20"/>
              </w:rPr>
            </w:pPr>
            <w:r w:rsidRPr="00303AD7">
              <w:rPr>
                <w:sz w:val="20"/>
              </w:rPr>
              <w:t>0.916</w:t>
            </w:r>
          </w:p>
        </w:tc>
        <w:tc>
          <w:tcPr>
            <w:tcW w:w="1077" w:type="dxa"/>
          </w:tcPr>
          <w:p w:rsidR="00365D11" w:rsidRPr="00303AD7" w:rsidRDefault="00365D11" w:rsidP="00AE1601">
            <w:pPr>
              <w:spacing w:after="240"/>
              <w:rPr>
                <w:sz w:val="20"/>
              </w:rPr>
            </w:pPr>
            <w:r w:rsidRPr="00303AD7">
              <w:rPr>
                <w:sz w:val="20"/>
              </w:rPr>
              <w:t>–0.216</w:t>
            </w:r>
          </w:p>
        </w:tc>
        <w:tc>
          <w:tcPr>
            <w:tcW w:w="1518" w:type="dxa"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0.847 to 1.004</w:t>
            </w:r>
          </w:p>
        </w:tc>
        <w:tc>
          <w:tcPr>
            <w:tcW w:w="1550" w:type="dxa"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–0.450 to 0.011</w:t>
            </w:r>
          </w:p>
        </w:tc>
      </w:tr>
      <w:tr w:rsidR="00365D11" w:rsidRPr="00E95768" w:rsidTr="00AE1601">
        <w:trPr>
          <w:trHeight w:val="943"/>
        </w:trPr>
        <w:tc>
          <w:tcPr>
            <w:tcW w:w="1225" w:type="dxa"/>
            <w:vMerge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303AD7">
              <w:rPr>
                <w:color w:val="000000"/>
                <w:sz w:val="20"/>
                <w:szCs w:val="20"/>
              </w:rPr>
              <w:t>μg</w:t>
            </w:r>
            <w:proofErr w:type="spellEnd"/>
          </w:p>
        </w:tc>
        <w:tc>
          <w:tcPr>
            <w:tcW w:w="1026" w:type="dxa"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7.0x10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-6</w:t>
            </w:r>
            <w:r w:rsidRPr="00303AD7">
              <w:rPr>
                <w:color w:val="000000"/>
                <w:sz w:val="20"/>
                <w:szCs w:val="20"/>
              </w:rPr>
              <w:t xml:space="preserve"> to 2.0x10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259" w:type="dxa"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7.0x10 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-6</w:t>
            </w:r>
            <w:r w:rsidRPr="00303AD7">
              <w:rPr>
                <w:color w:val="000000"/>
                <w:sz w:val="20"/>
                <w:szCs w:val="20"/>
              </w:rPr>
              <w:t xml:space="preserve"> to 2.0x10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755" w:type="dxa"/>
          </w:tcPr>
          <w:p w:rsidR="00365D11" w:rsidRPr="00303AD7" w:rsidRDefault="00365D11" w:rsidP="00AE1601">
            <w:pPr>
              <w:spacing w:after="240"/>
              <w:rPr>
                <w:sz w:val="20"/>
              </w:rPr>
            </w:pPr>
            <w:r w:rsidRPr="00303AD7">
              <w:rPr>
                <w:sz w:val="20"/>
              </w:rPr>
              <w:t>0.964</w:t>
            </w:r>
          </w:p>
        </w:tc>
        <w:tc>
          <w:tcPr>
            <w:tcW w:w="1077" w:type="dxa"/>
          </w:tcPr>
          <w:p w:rsidR="00365D11" w:rsidRPr="00303AD7" w:rsidRDefault="00365D11" w:rsidP="00AE1601">
            <w:pPr>
              <w:spacing w:after="240"/>
              <w:rPr>
                <w:sz w:val="20"/>
              </w:rPr>
            </w:pPr>
            <w:r w:rsidRPr="00303AD7">
              <w:rPr>
                <w:sz w:val="20"/>
              </w:rPr>
              <w:t>–0.057</w:t>
            </w:r>
          </w:p>
        </w:tc>
        <w:tc>
          <w:tcPr>
            <w:tcW w:w="1518" w:type="dxa"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0.877 to 1.043</w:t>
            </w:r>
          </w:p>
        </w:tc>
        <w:tc>
          <w:tcPr>
            <w:tcW w:w="1550" w:type="dxa"/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–0.358 to 0.248</w:t>
            </w:r>
          </w:p>
        </w:tc>
      </w:tr>
      <w:tr w:rsidR="00365D11" w:rsidRPr="00E95768" w:rsidTr="00AE1601">
        <w:trPr>
          <w:trHeight w:val="654"/>
        </w:trPr>
        <w:tc>
          <w:tcPr>
            <w:tcW w:w="1225" w:type="dxa"/>
            <w:vMerge/>
            <w:tcBorders>
              <w:bottom w:val="single" w:sz="12" w:space="0" w:color="auto"/>
            </w:tcBorders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tcBorders>
              <w:bottom w:val="single" w:sz="12" w:space="0" w:color="auto"/>
            </w:tcBorders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 xml:space="preserve">20 </w:t>
            </w:r>
            <w:proofErr w:type="spellStart"/>
            <w:r w:rsidRPr="00303AD7">
              <w:rPr>
                <w:color w:val="000000"/>
                <w:sz w:val="20"/>
                <w:szCs w:val="20"/>
              </w:rPr>
              <w:t>μg</w:t>
            </w:r>
            <w:proofErr w:type="spellEnd"/>
          </w:p>
        </w:tc>
        <w:tc>
          <w:tcPr>
            <w:tcW w:w="1026" w:type="dxa"/>
            <w:tcBorders>
              <w:bottom w:val="single" w:sz="12" w:space="0" w:color="auto"/>
            </w:tcBorders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7.0x10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-7</w:t>
            </w:r>
            <w:r w:rsidRPr="00303AD7">
              <w:rPr>
                <w:color w:val="000000"/>
                <w:sz w:val="20"/>
                <w:szCs w:val="20"/>
              </w:rPr>
              <w:t xml:space="preserve"> to 2.0x10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259" w:type="dxa"/>
            <w:tcBorders>
              <w:bottom w:val="single" w:sz="12" w:space="0" w:color="auto"/>
            </w:tcBorders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7.0x10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-7</w:t>
            </w:r>
            <w:r w:rsidRPr="00303AD7">
              <w:rPr>
                <w:color w:val="000000"/>
                <w:sz w:val="20"/>
                <w:szCs w:val="20"/>
              </w:rPr>
              <w:t xml:space="preserve"> to 2.0x10</w:t>
            </w:r>
            <w:r w:rsidRPr="00303AD7">
              <w:rPr>
                <w:color w:val="00000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755" w:type="dxa"/>
            <w:tcBorders>
              <w:bottom w:val="single" w:sz="12" w:space="0" w:color="auto"/>
            </w:tcBorders>
          </w:tcPr>
          <w:p w:rsidR="00365D11" w:rsidRPr="00303AD7" w:rsidRDefault="00365D11" w:rsidP="00AE1601">
            <w:pPr>
              <w:spacing w:after="240"/>
              <w:rPr>
                <w:sz w:val="20"/>
              </w:rPr>
            </w:pPr>
            <w:r w:rsidRPr="00303AD7">
              <w:rPr>
                <w:sz w:val="20"/>
              </w:rPr>
              <w:t>0.984</w:t>
            </w:r>
          </w:p>
        </w:tc>
        <w:tc>
          <w:tcPr>
            <w:tcW w:w="1077" w:type="dxa"/>
            <w:tcBorders>
              <w:bottom w:val="single" w:sz="12" w:space="0" w:color="auto"/>
            </w:tcBorders>
          </w:tcPr>
          <w:p w:rsidR="00365D11" w:rsidRPr="00303AD7" w:rsidRDefault="00365D11" w:rsidP="00AE1601">
            <w:pPr>
              <w:spacing w:after="240"/>
              <w:rPr>
                <w:sz w:val="20"/>
              </w:rPr>
            </w:pPr>
            <w:r w:rsidRPr="00303AD7">
              <w:rPr>
                <w:sz w:val="20"/>
              </w:rPr>
              <w:t>0.013</w:t>
            </w:r>
          </w:p>
        </w:tc>
        <w:tc>
          <w:tcPr>
            <w:tcW w:w="1518" w:type="dxa"/>
            <w:tcBorders>
              <w:bottom w:val="single" w:sz="12" w:space="0" w:color="auto"/>
            </w:tcBorders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0.924 to 1.048</w:t>
            </w:r>
          </w:p>
        </w:tc>
        <w:tc>
          <w:tcPr>
            <w:tcW w:w="1550" w:type="dxa"/>
            <w:tcBorders>
              <w:bottom w:val="single" w:sz="12" w:space="0" w:color="auto"/>
            </w:tcBorders>
          </w:tcPr>
          <w:p w:rsidR="00365D11" w:rsidRPr="00303AD7" w:rsidRDefault="00365D11" w:rsidP="00AE1601">
            <w:pPr>
              <w:spacing w:after="240"/>
              <w:rPr>
                <w:color w:val="000000"/>
                <w:sz w:val="20"/>
                <w:szCs w:val="20"/>
              </w:rPr>
            </w:pPr>
            <w:r w:rsidRPr="00303AD7">
              <w:rPr>
                <w:color w:val="000000"/>
                <w:sz w:val="20"/>
                <w:szCs w:val="20"/>
              </w:rPr>
              <w:t>–0.419 to 0.272</w:t>
            </w:r>
          </w:p>
        </w:tc>
      </w:tr>
    </w:tbl>
    <w:p w:rsidR="00365D11" w:rsidRPr="00303AD7" w:rsidRDefault="00365D11" w:rsidP="00365D11">
      <w:pPr>
        <w:pStyle w:val="BodyText12"/>
        <w:spacing w:after="0" w:line="240" w:lineRule="auto"/>
        <w:jc w:val="left"/>
        <w:rPr>
          <w:b/>
          <w:szCs w:val="24"/>
        </w:rPr>
      </w:pPr>
      <w:proofErr w:type="gramStart"/>
      <w:r w:rsidRPr="00303AD7">
        <w:rPr>
          <w:rFonts w:eastAsia="Calibri"/>
          <w:i/>
          <w:sz w:val="22"/>
          <w:szCs w:val="22"/>
        </w:rPr>
        <w:t>ALL</w:t>
      </w:r>
      <w:r w:rsidRPr="00303AD7">
        <w:rPr>
          <w:rFonts w:eastAsia="Calibri"/>
          <w:sz w:val="22"/>
          <w:szCs w:val="22"/>
        </w:rPr>
        <w:t xml:space="preserve"> acute lymphoblastic leukemia, </w:t>
      </w:r>
      <w:r w:rsidRPr="00303AD7">
        <w:rPr>
          <w:rFonts w:eastAsia="Calibri"/>
          <w:i/>
          <w:sz w:val="22"/>
          <w:szCs w:val="22"/>
        </w:rPr>
        <w:t>CLL</w:t>
      </w:r>
      <w:r w:rsidRPr="00303AD7">
        <w:rPr>
          <w:rFonts w:eastAsia="Calibri"/>
          <w:sz w:val="22"/>
          <w:szCs w:val="22"/>
        </w:rPr>
        <w:t xml:space="preserve"> chronic lymphocytic leukemia, </w:t>
      </w:r>
      <w:r w:rsidRPr="00303AD7">
        <w:rPr>
          <w:rFonts w:eastAsia="Calibri"/>
          <w:i/>
          <w:sz w:val="22"/>
          <w:szCs w:val="22"/>
        </w:rPr>
        <w:t>MM</w:t>
      </w:r>
      <w:r>
        <w:rPr>
          <w:rFonts w:eastAsia="Calibri"/>
          <w:sz w:val="22"/>
          <w:szCs w:val="22"/>
        </w:rPr>
        <w:t xml:space="preserve"> multiple myeloma, </w:t>
      </w:r>
      <w:r w:rsidRPr="003B71D4">
        <w:rPr>
          <w:rFonts w:eastAsia="Calibri"/>
          <w:i/>
          <w:sz w:val="22"/>
          <w:szCs w:val="22"/>
        </w:rPr>
        <w:t>MRD</w:t>
      </w:r>
      <w:r w:rsidRPr="003B71D4">
        <w:rPr>
          <w:rFonts w:eastAsia="Calibri"/>
          <w:sz w:val="22"/>
          <w:szCs w:val="22"/>
        </w:rPr>
        <w:t xml:space="preserve"> minimal residual disease</w:t>
      </w:r>
      <w:r>
        <w:rPr>
          <w:rFonts w:eastAsia="Calibri"/>
          <w:sz w:val="22"/>
          <w:szCs w:val="22"/>
        </w:rPr>
        <w:t>.</w:t>
      </w:r>
      <w:proofErr w:type="gramEnd"/>
    </w:p>
    <w:p w:rsidR="00134F40" w:rsidRPr="00365D11" w:rsidRDefault="00134F40" w:rsidP="00365D11">
      <w:bookmarkStart w:id="0" w:name="_GoBack"/>
      <w:bookmarkEnd w:id="0"/>
    </w:p>
    <w:sectPr w:rsidR="00134F40" w:rsidRPr="00365D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F40"/>
    <w:rsid w:val="00134F40"/>
    <w:rsid w:val="00365D11"/>
    <w:rsid w:val="004C0BAE"/>
    <w:rsid w:val="008E750C"/>
    <w:rsid w:val="009017F4"/>
    <w:rsid w:val="00B12BCE"/>
    <w:rsid w:val="00B5399D"/>
    <w:rsid w:val="00BD00A4"/>
    <w:rsid w:val="00C82367"/>
    <w:rsid w:val="00F0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4F4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1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7F4"/>
    <w:rPr>
      <w:rFonts w:ascii="Tahoma" w:hAnsi="Tahoma" w:cs="Tahoma"/>
      <w:sz w:val="16"/>
      <w:szCs w:val="16"/>
    </w:rPr>
  </w:style>
  <w:style w:type="paragraph" w:customStyle="1" w:styleId="BodyText12">
    <w:name w:val="Body Text 12"/>
    <w:link w:val="BodyText12Char"/>
    <w:uiPriority w:val="99"/>
    <w:qFormat/>
    <w:rsid w:val="008E750C"/>
    <w:pPr>
      <w:spacing w:after="240" w:line="264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12Char">
    <w:name w:val="Body Text 12 Char"/>
    <w:basedOn w:val="DefaultParagraphFont"/>
    <w:link w:val="BodyText12"/>
    <w:uiPriority w:val="99"/>
    <w:locked/>
    <w:rsid w:val="008E750C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Caption">
    <w:name w:val="caption"/>
    <w:aliases w:val="Bayer Caption,Medical Caption,IB Caption,NDA"/>
    <w:next w:val="Normal"/>
    <w:link w:val="CaptionChar"/>
    <w:uiPriority w:val="35"/>
    <w:qFormat/>
    <w:rsid w:val="00BD00A4"/>
    <w:pPr>
      <w:keepNext/>
      <w:tabs>
        <w:tab w:val="left" w:pos="1152"/>
      </w:tabs>
      <w:spacing w:before="60" w:after="60" w:line="240" w:lineRule="auto"/>
      <w:ind w:left="1152" w:hanging="1152"/>
    </w:pPr>
    <w:rPr>
      <w:rFonts w:eastAsia="Times New Roman" w:cs="Times New Roman"/>
      <w:b/>
      <w:bCs/>
      <w:szCs w:val="18"/>
      <w:lang w:val="en-US"/>
    </w:rPr>
  </w:style>
  <w:style w:type="character" w:customStyle="1" w:styleId="CaptionChar">
    <w:name w:val="Caption Char"/>
    <w:aliases w:val="Bayer Caption Char,Medical Caption Char,IB Caption Char,NDA Char"/>
    <w:link w:val="Caption"/>
    <w:uiPriority w:val="35"/>
    <w:rsid w:val="00BD00A4"/>
    <w:rPr>
      <w:rFonts w:eastAsia="Times New Roman" w:cs="Times New Roman"/>
      <w:b/>
      <w:bCs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4F4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1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7F4"/>
    <w:rPr>
      <w:rFonts w:ascii="Tahoma" w:hAnsi="Tahoma" w:cs="Tahoma"/>
      <w:sz w:val="16"/>
      <w:szCs w:val="16"/>
    </w:rPr>
  </w:style>
  <w:style w:type="paragraph" w:customStyle="1" w:styleId="BodyText12">
    <w:name w:val="Body Text 12"/>
    <w:link w:val="BodyText12Char"/>
    <w:uiPriority w:val="99"/>
    <w:qFormat/>
    <w:rsid w:val="008E750C"/>
    <w:pPr>
      <w:spacing w:after="240" w:line="264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12Char">
    <w:name w:val="Body Text 12 Char"/>
    <w:basedOn w:val="DefaultParagraphFont"/>
    <w:link w:val="BodyText12"/>
    <w:uiPriority w:val="99"/>
    <w:locked/>
    <w:rsid w:val="008E750C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Caption">
    <w:name w:val="caption"/>
    <w:aliases w:val="Bayer Caption,Medical Caption,IB Caption,NDA"/>
    <w:next w:val="Normal"/>
    <w:link w:val="CaptionChar"/>
    <w:uiPriority w:val="35"/>
    <w:qFormat/>
    <w:rsid w:val="00BD00A4"/>
    <w:pPr>
      <w:keepNext/>
      <w:tabs>
        <w:tab w:val="left" w:pos="1152"/>
      </w:tabs>
      <w:spacing w:before="60" w:after="60" w:line="240" w:lineRule="auto"/>
      <w:ind w:left="1152" w:hanging="1152"/>
    </w:pPr>
    <w:rPr>
      <w:rFonts w:eastAsia="Times New Roman" w:cs="Times New Roman"/>
      <w:b/>
      <w:bCs/>
      <w:szCs w:val="18"/>
      <w:lang w:val="en-US"/>
    </w:rPr>
  </w:style>
  <w:style w:type="character" w:customStyle="1" w:styleId="CaptionChar">
    <w:name w:val="Caption Char"/>
    <w:aliases w:val="Bayer Caption Char,Medical Caption Char,IB Caption Char,NDA Char"/>
    <w:link w:val="Caption"/>
    <w:uiPriority w:val="35"/>
    <w:rsid w:val="00BD00A4"/>
    <w:rPr>
      <w:rFonts w:eastAsia="Times New Roman" w:cs="Times New Roman"/>
      <w:b/>
      <w:bCs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1087</Characters>
  <Application>Microsoft Office Word</Application>
  <DocSecurity>0</DocSecurity>
  <Lines>108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2020-06-16T17:50:00Z</dcterms:created>
  <dcterms:modified xsi:type="dcterms:W3CDTF">2020-06-16T17:50:00Z</dcterms:modified>
</cp:coreProperties>
</file>