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EDF" w:rsidRPr="00BF53C9" w:rsidRDefault="00491EDF" w:rsidP="00491EDF">
      <w:pPr>
        <w:pStyle w:val="Heading1"/>
      </w:pPr>
      <w:r w:rsidRPr="00BF53C9">
        <w:t>Supp</w:t>
      </w:r>
      <w:r>
        <w:t>orting</w:t>
      </w:r>
      <w:bookmarkStart w:id="0" w:name="_GoBack"/>
      <w:bookmarkEnd w:id="0"/>
      <w:r w:rsidRPr="00BF53C9">
        <w:t xml:space="preserve"> material</w:t>
      </w:r>
    </w:p>
    <w:p w:rsidR="00491EDF" w:rsidRPr="00BF53C9" w:rsidRDefault="00491EDF" w:rsidP="00491EDF">
      <w:pPr>
        <w:rPr>
          <w:lang w:val="en-AU"/>
        </w:rPr>
      </w:pPr>
      <w:r w:rsidRPr="00BF53C9">
        <w:rPr>
          <w:lang w:val="en-AU"/>
        </w:rPr>
        <w:t>Supplementary Table 1 – Cox proportional hazards model – overall survival</w:t>
      </w:r>
    </w:p>
    <w:tbl>
      <w:tblPr>
        <w:tblStyle w:val="TableGrid"/>
        <w:tblW w:w="4791" w:type="pct"/>
        <w:tblLook w:val="07E0" w:firstRow="1" w:lastRow="1" w:firstColumn="1" w:lastColumn="1" w:noHBand="1" w:noVBand="1"/>
      </w:tblPr>
      <w:tblGrid>
        <w:gridCol w:w="2341"/>
        <w:gridCol w:w="1634"/>
        <w:gridCol w:w="1594"/>
        <w:gridCol w:w="2287"/>
        <w:gridCol w:w="994"/>
      </w:tblGrid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 Variables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 xml:space="preserve">Hazards Ratio 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Upper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P Value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No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Yes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0.742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0.57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0.966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0.027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Age at diagnosis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1.091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1.083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1.099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&lt;0.001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High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Intermediate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0.474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0.391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0.575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&lt;0.001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Low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0.412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0.355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0.477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&lt;0.001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Treatment year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0.967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0.951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0.983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&lt;0.001</w:t>
            </w:r>
          </w:p>
        </w:tc>
      </w:tr>
    </w:tbl>
    <w:p w:rsidR="00491EDF" w:rsidRPr="00BF53C9" w:rsidRDefault="00491EDF" w:rsidP="00491EDF">
      <w:pPr>
        <w:rPr>
          <w:lang w:val="en-AU"/>
        </w:rPr>
      </w:pPr>
    </w:p>
    <w:p w:rsidR="00491EDF" w:rsidRPr="00BF53C9" w:rsidRDefault="00491EDF" w:rsidP="00491EDF">
      <w:pPr>
        <w:rPr>
          <w:lang w:val="en-AU"/>
        </w:rPr>
      </w:pPr>
      <w:r w:rsidRPr="00BF53C9">
        <w:rPr>
          <w:lang w:val="en-AU"/>
        </w:rPr>
        <w:t>Supplementary Table 2 – Fine and Grey model predicting prostate cancer specific mortality</w:t>
      </w:r>
    </w:p>
    <w:tbl>
      <w:tblPr>
        <w:tblStyle w:val="TableGrid"/>
        <w:tblW w:w="4791" w:type="pct"/>
        <w:tblLook w:val="07E0" w:firstRow="1" w:lastRow="1" w:firstColumn="1" w:lastColumn="1" w:noHBand="1" w:noVBand="1"/>
      </w:tblPr>
      <w:tblGrid>
        <w:gridCol w:w="2239"/>
        <w:gridCol w:w="1982"/>
        <w:gridCol w:w="1513"/>
        <w:gridCol w:w="2153"/>
        <w:gridCol w:w="963"/>
      </w:tblGrid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NoSpacing"/>
              <w:rPr>
                <w:b/>
              </w:rPr>
            </w:pPr>
            <w:r w:rsidRPr="00BF53C9">
              <w:rPr>
                <w:b/>
              </w:rPr>
              <w:t> Variables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NoSpacing"/>
              <w:rPr>
                <w:b/>
              </w:rPr>
            </w:pPr>
            <w:r w:rsidRPr="00BF53C9">
              <w:rPr>
                <w:b/>
              </w:rPr>
              <w:t xml:space="preserve">Sub-Hazards Ratio 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NoSpacing"/>
              <w:rPr>
                <w:b/>
              </w:rPr>
            </w:pPr>
            <w:r w:rsidRPr="00BF53C9">
              <w:rPr>
                <w:b/>
              </w:rPr>
              <w:t>Lower 95%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NoSpacing"/>
              <w:rPr>
                <w:b/>
              </w:rPr>
            </w:pPr>
            <w:r w:rsidRPr="00BF53C9">
              <w:rPr>
                <w:b/>
              </w:rPr>
              <w:t>Lower 95% Upper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NoSpacing"/>
              <w:rPr>
                <w:b/>
              </w:rPr>
            </w:pPr>
            <w:r w:rsidRPr="00BF53C9">
              <w:rPr>
                <w:b/>
              </w:rPr>
              <w:t>P Value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No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Yes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0.748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0.506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1.106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0.15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Age at diagnosis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1.052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1.04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1.064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High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4.895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3.895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6.153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&lt;0.001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Intermediate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1.828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1.408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2.372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Low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lastRenderedPageBreak/>
              <w:t>Treatment year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0.952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0.931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0.974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</w:tbl>
    <w:p w:rsidR="00491EDF" w:rsidRPr="00BF53C9" w:rsidRDefault="00491EDF" w:rsidP="00491EDF">
      <w:pPr>
        <w:rPr>
          <w:lang w:val="en-AU"/>
        </w:rPr>
      </w:pPr>
    </w:p>
    <w:p w:rsidR="00491EDF" w:rsidRPr="00BF53C9" w:rsidRDefault="00491EDF" w:rsidP="00491EDF">
      <w:pPr>
        <w:spacing w:line="240" w:lineRule="auto"/>
        <w:jc w:val="left"/>
        <w:rPr>
          <w:lang w:val="en-AU"/>
        </w:rPr>
      </w:pPr>
      <w:r w:rsidRPr="00BF53C9">
        <w:rPr>
          <w:lang w:val="en-AU"/>
        </w:rPr>
        <w:t>Supplementary Table 3 - Cox proportional hazards model – overall survival – Radical prostatectomy</w:t>
      </w:r>
    </w:p>
    <w:p w:rsidR="00491EDF" w:rsidRPr="00BF53C9" w:rsidRDefault="00491EDF" w:rsidP="00491EDF">
      <w:pPr>
        <w:spacing w:line="240" w:lineRule="auto"/>
        <w:jc w:val="left"/>
        <w:rPr>
          <w:lang w:val="en-AU"/>
        </w:rPr>
      </w:pPr>
    </w:p>
    <w:tbl>
      <w:tblPr>
        <w:tblStyle w:val="TableGrid"/>
        <w:tblW w:w="4791" w:type="pct"/>
        <w:tblLook w:val="07E0" w:firstRow="1" w:lastRow="1" w:firstColumn="1" w:lastColumn="1" w:noHBand="1" w:noVBand="1"/>
      </w:tblPr>
      <w:tblGrid>
        <w:gridCol w:w="2341"/>
        <w:gridCol w:w="1634"/>
        <w:gridCol w:w="1594"/>
        <w:gridCol w:w="2287"/>
        <w:gridCol w:w="994"/>
      </w:tblGrid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 Variables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 xml:space="preserve">Hazards Ratio 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Upper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P Value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No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Yes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0.885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0.472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1.657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0.703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Age at diagnosis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1.064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1.031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1.098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High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Intermediate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1.029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0.230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4.613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0.97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Low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0.860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0.212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3.495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0.833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Treatment year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0.983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0.923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1.046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0.585</w:t>
            </w:r>
          </w:p>
        </w:tc>
      </w:tr>
    </w:tbl>
    <w:p w:rsidR="00491EDF" w:rsidRPr="00BF53C9" w:rsidRDefault="00491EDF" w:rsidP="00491EDF">
      <w:pPr>
        <w:rPr>
          <w:lang w:val="en-AU"/>
        </w:rPr>
      </w:pPr>
    </w:p>
    <w:p w:rsidR="00491EDF" w:rsidRPr="00BF53C9" w:rsidRDefault="00491EDF" w:rsidP="00491EDF">
      <w:pPr>
        <w:rPr>
          <w:lang w:val="en-AU"/>
        </w:rPr>
      </w:pPr>
    </w:p>
    <w:p w:rsidR="00491EDF" w:rsidRPr="00BF53C9" w:rsidRDefault="00491EDF" w:rsidP="00491EDF">
      <w:pPr>
        <w:rPr>
          <w:lang w:val="en-AU"/>
        </w:rPr>
      </w:pPr>
      <w:r w:rsidRPr="00BF53C9">
        <w:rPr>
          <w:lang w:val="en-AU"/>
        </w:rPr>
        <w:t>Supplementary Table 4- Cox proportional hazards model – overall survival – Radiation therapy</w:t>
      </w:r>
    </w:p>
    <w:tbl>
      <w:tblPr>
        <w:tblStyle w:val="TableGrid"/>
        <w:tblW w:w="4791" w:type="pct"/>
        <w:tblLook w:val="07E0" w:firstRow="1" w:lastRow="1" w:firstColumn="1" w:lastColumn="1" w:noHBand="1" w:noVBand="1"/>
      </w:tblPr>
      <w:tblGrid>
        <w:gridCol w:w="2341"/>
        <w:gridCol w:w="1634"/>
        <w:gridCol w:w="1594"/>
        <w:gridCol w:w="2287"/>
        <w:gridCol w:w="994"/>
      </w:tblGrid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 Variables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 xml:space="preserve">Hazards Ratio 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rPr>
                <w:b/>
              </w:rPr>
              <w:t>Lower 95% Upper CI</w:t>
            </w:r>
          </w:p>
        </w:tc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rPr>
                <w:b/>
              </w:rPr>
              <w:t>P Value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No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Family History - Yes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0.645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0.412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1.008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0.054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Age at diagnosis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1.063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1.046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1.080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  <w:tr w:rsidR="00491EDF" w:rsidRPr="00BF53C9" w:rsidTr="00F2110B"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High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</w:pPr>
            <w:r w:rsidRPr="00BF53C9">
              <w:t>-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</w:pPr>
            <w:r w:rsidRPr="00BF53C9">
              <w:t>-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NCCN - Intermediate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0.626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0.448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0.875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0.006</w:t>
            </w:r>
          </w:p>
        </w:tc>
      </w:tr>
      <w:tr w:rsidR="00491EDF" w:rsidRPr="00BF53C9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lastRenderedPageBreak/>
              <w:t>NCCN - Low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0.573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0.433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0.758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rPr>
                <w:b/>
              </w:rPr>
            </w:pPr>
            <w:r w:rsidRPr="00BF53C9">
              <w:t>&lt;0.001</w:t>
            </w:r>
          </w:p>
        </w:tc>
      </w:tr>
      <w:tr w:rsidR="00491EDF" w:rsidTr="00F2110B">
        <w:tc>
          <w:tcPr>
            <w:tcW w:w="0" w:type="auto"/>
            <w:hideMark/>
          </w:tcPr>
          <w:p w:rsidR="00491EDF" w:rsidRPr="00BF53C9" w:rsidRDefault="00491EDF" w:rsidP="00F2110B">
            <w:pPr>
              <w:pStyle w:val="Compact"/>
              <w:jc w:val="center"/>
              <w:rPr>
                <w:b/>
              </w:rPr>
            </w:pPr>
            <w:r w:rsidRPr="00BF53C9">
              <w:rPr>
                <w:b/>
              </w:rPr>
              <w:t>Treatment year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0.973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0.944</w:t>
            </w:r>
          </w:p>
        </w:tc>
        <w:tc>
          <w:tcPr>
            <w:tcW w:w="0" w:type="auto"/>
          </w:tcPr>
          <w:p w:rsidR="00491EDF" w:rsidRPr="00BF53C9" w:rsidRDefault="00491EDF" w:rsidP="00F2110B">
            <w:pPr>
              <w:pStyle w:val="Compact"/>
              <w:jc w:val="right"/>
              <w:rPr>
                <w:b/>
              </w:rPr>
            </w:pPr>
            <w:r w:rsidRPr="00BF53C9">
              <w:t>1.002</w:t>
            </w:r>
          </w:p>
        </w:tc>
        <w:tc>
          <w:tcPr>
            <w:tcW w:w="0" w:type="auto"/>
          </w:tcPr>
          <w:p w:rsidR="00491EDF" w:rsidRPr="00424E2C" w:rsidRDefault="00491EDF" w:rsidP="00F2110B">
            <w:pPr>
              <w:pStyle w:val="Compact"/>
              <w:rPr>
                <w:b/>
              </w:rPr>
            </w:pPr>
            <w:r w:rsidRPr="00BF53C9">
              <w:t>0.072</w:t>
            </w:r>
          </w:p>
        </w:tc>
      </w:tr>
    </w:tbl>
    <w:p w:rsidR="00491EDF" w:rsidRDefault="00491EDF" w:rsidP="00491EDF">
      <w:pPr>
        <w:rPr>
          <w:lang w:val="en-AU"/>
        </w:rPr>
      </w:pPr>
    </w:p>
    <w:p w:rsidR="00491EDF" w:rsidRPr="00205A29" w:rsidRDefault="00491EDF" w:rsidP="00491EDF">
      <w:pPr>
        <w:rPr>
          <w:lang w:val="en-AU"/>
        </w:rPr>
      </w:pPr>
    </w:p>
    <w:p w:rsidR="00852BAA" w:rsidRDefault="00852BAA"/>
    <w:sectPr w:rsidR="00852BAA" w:rsidSect="005F454B">
      <w:headerReference w:type="default" r:id="rId5"/>
      <w:footerReference w:type="default" r:id="rId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9F1" w:rsidRDefault="00491EDF" w:rsidP="00CD67D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01681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C829F1" w:rsidRDefault="00491EDF" w:rsidP="008F30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EDF"/>
    <w:rsid w:val="00491EDF"/>
    <w:rsid w:val="00852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EDF"/>
    <w:pPr>
      <w:spacing w:after="0" w:line="480" w:lineRule="auto"/>
      <w:jc w:val="both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E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EDF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customStyle="1" w:styleId="Compact">
    <w:name w:val="Compact"/>
    <w:basedOn w:val="BodyText"/>
    <w:qFormat/>
    <w:rsid w:val="00491EDF"/>
    <w:pPr>
      <w:spacing w:before="36" w:after="36"/>
    </w:pPr>
  </w:style>
  <w:style w:type="paragraph" w:styleId="Header">
    <w:name w:val="header"/>
    <w:basedOn w:val="Normal"/>
    <w:link w:val="HeaderChar"/>
    <w:uiPriority w:val="99"/>
    <w:unhideWhenUsed/>
    <w:rsid w:val="00491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EDF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1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EDF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91EDF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1EDF"/>
    <w:pPr>
      <w:spacing w:after="0" w:line="240" w:lineRule="auto"/>
      <w:jc w:val="both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91E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1EDF"/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EDF"/>
    <w:pPr>
      <w:spacing w:after="0" w:line="480" w:lineRule="auto"/>
      <w:jc w:val="both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1E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1EDF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customStyle="1" w:styleId="Compact">
    <w:name w:val="Compact"/>
    <w:basedOn w:val="BodyText"/>
    <w:qFormat/>
    <w:rsid w:val="00491EDF"/>
    <w:pPr>
      <w:spacing w:before="36" w:after="36"/>
    </w:pPr>
  </w:style>
  <w:style w:type="paragraph" w:styleId="Header">
    <w:name w:val="header"/>
    <w:basedOn w:val="Normal"/>
    <w:link w:val="HeaderChar"/>
    <w:uiPriority w:val="99"/>
    <w:unhideWhenUsed/>
    <w:rsid w:val="00491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EDF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1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EDF"/>
    <w:rPr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491EDF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91EDF"/>
    <w:pPr>
      <w:spacing w:after="0" w:line="240" w:lineRule="auto"/>
      <w:jc w:val="both"/>
    </w:pPr>
    <w:rPr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491ED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1EDF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 Health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O'Callaghan, Michael</dc:creator>
  <cp:lastModifiedBy>O'Callaghan, Michael</cp:lastModifiedBy>
  <cp:revision>1</cp:revision>
  <dcterms:created xsi:type="dcterms:W3CDTF">2020-01-13T22:42:00Z</dcterms:created>
  <dcterms:modified xsi:type="dcterms:W3CDTF">2020-01-13T22:43:00Z</dcterms:modified>
</cp:coreProperties>
</file>