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FD" w:rsidRPr="005573A4" w:rsidRDefault="00580BFD" w:rsidP="00580BF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26056">
        <w:rPr>
          <w:rFonts w:ascii="Times New Roman" w:hAnsi="Times New Roman" w:cs="Times New Roman"/>
          <w:b/>
          <w:sz w:val="20"/>
          <w:szCs w:val="20"/>
        </w:rPr>
        <w:t>Table S2</w:t>
      </w:r>
      <w:r w:rsidRPr="0024559B">
        <w:rPr>
          <w:rFonts w:ascii="Times New Roman" w:hAnsi="Times New Roman" w:cs="Times New Roman"/>
          <w:sz w:val="20"/>
          <w:szCs w:val="20"/>
        </w:rPr>
        <w:t xml:space="preserve"> KEGG Pathway Enrichment Analysis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37FE">
        <w:rPr>
          <w:rFonts w:ascii="Times New Roman" w:hAnsi="Times New Roman" w:cs="Times New Roman"/>
          <w:sz w:val="20"/>
          <w:szCs w:val="20"/>
        </w:rPr>
        <w:t xml:space="preserve">of Nested Case Control Study Based on </w:t>
      </w:r>
      <w:r w:rsidRPr="00C637FE">
        <w:rPr>
          <w:rFonts w:ascii="Times New Roman" w:hAnsi="Times New Roman" w:cs="Times New Roman"/>
          <w:sz w:val="20"/>
          <w:szCs w:val="20"/>
          <w:lang w:val="en-GB"/>
        </w:rPr>
        <w:t>EPIC-Italy Cohort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0"/>
        <w:gridCol w:w="3730"/>
        <w:gridCol w:w="1623"/>
        <w:gridCol w:w="1456"/>
      </w:tblGrid>
      <w:tr w:rsidR="00580BFD" w:rsidRPr="0024559B" w:rsidTr="00AC2705">
        <w:trPr>
          <w:trHeight w:val="395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80BFD" w:rsidRPr="000D607C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07C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37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80BFD" w:rsidRPr="000D607C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07C">
              <w:rPr>
                <w:rFonts w:ascii="Times New Roman" w:hAnsi="Times New Roman" w:cs="Times New Roman"/>
                <w:sz w:val="20"/>
                <w:szCs w:val="20"/>
              </w:rPr>
              <w:t>Pathway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80BFD" w:rsidRPr="000D607C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07C">
              <w:rPr>
                <w:rFonts w:ascii="Times New Roman" w:hAnsi="Times New Roman" w:cs="Times New Roman"/>
                <w:sz w:val="20"/>
                <w:szCs w:val="20"/>
              </w:rPr>
              <w:t>Gene counts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80BFD" w:rsidRPr="000D607C" w:rsidRDefault="00580BFD" w:rsidP="00AC270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07C">
              <w:rPr>
                <w:rFonts w:ascii="Times New Roman" w:hAnsi="Times New Roman" w:cs="Times New Roman"/>
                <w:i/>
                <w:sz w:val="20"/>
                <w:szCs w:val="20"/>
              </w:rPr>
              <w:t>FDR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hsa04015</w:t>
            </w:r>
          </w:p>
        </w:tc>
        <w:tc>
          <w:tcPr>
            <w:tcW w:w="373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Rap1 signaling pathway</w:t>
            </w:r>
          </w:p>
        </w:tc>
        <w:tc>
          <w:tcPr>
            <w:tcW w:w="162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hsa04218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Cellular senescence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hsa01100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Metabolic pathways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1231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hsa04360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Axon guidance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hsa00970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Aminoacyl-</w:t>
            </w:r>
            <w:proofErr w:type="spellStart"/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proofErr w:type="spellEnd"/>
            <w:r w:rsidRPr="0024559B">
              <w:rPr>
                <w:rFonts w:ascii="Times New Roman" w:hAnsi="Times New Roman" w:cs="Times New Roman"/>
                <w:sz w:val="20"/>
                <w:szCs w:val="20"/>
              </w:rPr>
              <w:t xml:space="preserve"> biosynthesis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hsa04152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AMPK signaling pathway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0.0048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hsa05200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Pathways in cancer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hsa04110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Cell cycle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0.0078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hsa04115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p53 signaling pathway</w:t>
            </w:r>
          </w:p>
        </w:tc>
        <w:tc>
          <w:tcPr>
            <w:tcW w:w="1623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0.0149</w:t>
            </w:r>
          </w:p>
        </w:tc>
      </w:tr>
      <w:tr w:rsidR="00580BFD" w:rsidRPr="0024559B" w:rsidTr="00AC2705">
        <w:trPr>
          <w:trHeight w:val="301"/>
        </w:trPr>
        <w:tc>
          <w:tcPr>
            <w:tcW w:w="1720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hsa05203</w:t>
            </w:r>
          </w:p>
        </w:tc>
        <w:tc>
          <w:tcPr>
            <w:tcW w:w="3730" w:type="dxa"/>
            <w:noWrap/>
            <w:vAlign w:val="center"/>
            <w:hideMark/>
          </w:tcPr>
          <w:p w:rsidR="00580BFD" w:rsidRPr="0024559B" w:rsidRDefault="00580BFD" w:rsidP="00AC2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Human papillomavirus infection</w:t>
            </w:r>
          </w:p>
        </w:tc>
        <w:tc>
          <w:tcPr>
            <w:tcW w:w="1623" w:type="dxa"/>
            <w:noWrap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456" w:type="dxa"/>
            <w:noWrap/>
            <w:vAlign w:val="center"/>
            <w:hideMark/>
          </w:tcPr>
          <w:p w:rsidR="00580BFD" w:rsidRPr="0024559B" w:rsidRDefault="00580BFD" w:rsidP="00AC2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59B">
              <w:rPr>
                <w:rFonts w:ascii="Times New Roman" w:hAnsi="Times New Roman" w:cs="Times New Roman"/>
                <w:sz w:val="20"/>
                <w:szCs w:val="20"/>
              </w:rPr>
              <w:t>0.0161</w:t>
            </w:r>
          </w:p>
        </w:tc>
      </w:tr>
    </w:tbl>
    <w:p w:rsidR="00580BFD" w:rsidRPr="0024559B" w:rsidRDefault="00580BFD" w:rsidP="00580BF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4559B">
        <w:rPr>
          <w:rFonts w:ascii="Times New Roman" w:hAnsi="Times New Roman" w:cs="Times New Roman"/>
          <w:sz w:val="20"/>
          <w:szCs w:val="20"/>
        </w:rPr>
        <w:t>Abbreviations: FDR, false discovery rate</w:t>
      </w:r>
    </w:p>
    <w:p w:rsidR="00580BFD" w:rsidRPr="0024559B" w:rsidRDefault="00580BFD" w:rsidP="00580BF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580BFD" w:rsidRDefault="00580BFD" w:rsidP="00580BFD"/>
    <w:p w:rsidR="00580BFD" w:rsidRDefault="00580BFD" w:rsidP="00580BFD"/>
    <w:p w:rsidR="00580BFD" w:rsidRDefault="00580BFD" w:rsidP="00580BFD"/>
    <w:p w:rsidR="00580BFD" w:rsidRDefault="00580BFD" w:rsidP="00580BFD"/>
    <w:p w:rsidR="00DC0B92" w:rsidRPr="00580BFD" w:rsidRDefault="00DC0B92" w:rsidP="00580BFD">
      <w:bookmarkStart w:id="0" w:name="_GoBack"/>
      <w:bookmarkEnd w:id="0"/>
    </w:p>
    <w:sectPr w:rsidR="00DC0B92" w:rsidRPr="00580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2"/>
    <w:rsid w:val="00580BFD"/>
    <w:rsid w:val="007D7E6D"/>
    <w:rsid w:val="00800A26"/>
    <w:rsid w:val="00AC4F0D"/>
    <w:rsid w:val="00C3667A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503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2020-07-21T03:00:00Z</dcterms:created>
  <dcterms:modified xsi:type="dcterms:W3CDTF">2020-07-21T03:00:00Z</dcterms:modified>
</cp:coreProperties>
</file>