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552" w:rsidRDefault="00A45552" w:rsidP="00A45552">
      <w:pPr>
        <w:autoSpaceDE w:val="0"/>
        <w:autoSpaceDN w:val="0"/>
        <w:adjustRightInd w:val="0"/>
        <w:spacing w:line="480" w:lineRule="auto"/>
        <w:rPr>
          <w:b/>
          <w:bCs/>
          <w:color w:val="000000"/>
          <w:kern w:val="0"/>
          <w:sz w:val="24"/>
        </w:rPr>
      </w:pPr>
      <w:r>
        <w:rPr>
          <w:rFonts w:hint="eastAsia"/>
          <w:b/>
          <w:bCs/>
          <w:color w:val="000000"/>
          <w:kern w:val="0"/>
          <w:sz w:val="24"/>
        </w:rPr>
        <w:t>S</w:t>
      </w:r>
      <w:r>
        <w:rPr>
          <w:b/>
          <w:bCs/>
          <w:color w:val="000000"/>
          <w:kern w:val="0"/>
          <w:sz w:val="24"/>
        </w:rPr>
        <w:t>upplementary methods</w:t>
      </w:r>
    </w:p>
    <w:p w:rsidR="00A45552" w:rsidRDefault="00A45552" w:rsidP="00A45552">
      <w:pPr>
        <w:spacing w:line="480" w:lineRule="auto"/>
        <w:rPr>
          <w:sz w:val="24"/>
        </w:rPr>
      </w:pPr>
      <w:proofErr w:type="gramStart"/>
      <w:r>
        <w:rPr>
          <w:b/>
          <w:bCs/>
          <w:color w:val="000000"/>
          <w:kern w:val="0"/>
          <w:sz w:val="24"/>
        </w:rPr>
        <w:t>Cell culture.</w:t>
      </w:r>
      <w:proofErr w:type="gramEnd"/>
      <w:r>
        <w:rPr>
          <w:color w:val="000000"/>
          <w:kern w:val="0"/>
          <w:sz w:val="24"/>
        </w:rPr>
        <w:t xml:space="preserve"> Spontaneously immortalized human foreskin keratinocytes (NIKS cells) were cultured on </w:t>
      </w:r>
      <w:proofErr w:type="spellStart"/>
      <w:r>
        <w:rPr>
          <w:color w:val="000000"/>
          <w:kern w:val="0"/>
          <w:sz w:val="24"/>
        </w:rPr>
        <w:t>mitomycin</w:t>
      </w:r>
      <w:proofErr w:type="spellEnd"/>
      <w:r>
        <w:rPr>
          <w:color w:val="000000"/>
          <w:kern w:val="0"/>
          <w:sz w:val="24"/>
        </w:rPr>
        <w:t xml:space="preserve"> C-treated J2-3T3 feeder cells with E medium</w:t>
      </w:r>
      <w:r>
        <w:rPr>
          <w:rFonts w:hint="eastAsia"/>
          <w:color w:val="000000"/>
          <w:kern w:val="0"/>
          <w:sz w:val="24"/>
        </w:rPr>
        <w:t>, which was</w:t>
      </w:r>
      <w:r>
        <w:rPr>
          <w:color w:val="000000"/>
          <w:kern w:val="0"/>
          <w:sz w:val="24"/>
        </w:rPr>
        <w:t xml:space="preserve"> composed </w:t>
      </w:r>
      <w:r>
        <w:rPr>
          <w:rFonts w:hint="eastAsia"/>
          <w:color w:val="000000"/>
          <w:kern w:val="0"/>
          <w:sz w:val="24"/>
        </w:rPr>
        <w:t>by</w:t>
      </w:r>
      <w:r>
        <w:rPr>
          <w:color w:val="000000"/>
          <w:kern w:val="0"/>
          <w:sz w:val="24"/>
        </w:rPr>
        <w:t xml:space="preserve"> 1 part Ham’s F12 medium plus 5% fetal bovine serum (FBS)</w:t>
      </w:r>
      <w:r>
        <w:rPr>
          <w:rFonts w:hint="eastAsia"/>
          <w:color w:val="000000"/>
          <w:kern w:val="0"/>
          <w:sz w:val="24"/>
        </w:rPr>
        <w:t xml:space="preserve"> and </w:t>
      </w:r>
      <w:r>
        <w:rPr>
          <w:color w:val="000000"/>
          <w:kern w:val="0"/>
          <w:sz w:val="24"/>
        </w:rPr>
        <w:t xml:space="preserve">3 parts Dulbecco’s modified Eagle medium (DMEM). Cells of the human telomerase reverse transcriptase-expressing human retinal pigment epithelium cell line RPE1 were maintained in a 1:1 dilution of DMEM-Ham’s F-12 medium plus 10% FBS. </w:t>
      </w:r>
      <w:proofErr w:type="spellStart"/>
      <w:r>
        <w:rPr>
          <w:bCs/>
          <w:sz w:val="24"/>
        </w:rPr>
        <w:t>pBabe</w:t>
      </w:r>
      <w:proofErr w:type="spellEnd"/>
      <w:r>
        <w:rPr>
          <w:bCs/>
          <w:sz w:val="24"/>
        </w:rPr>
        <w:t xml:space="preserve"> retroviral system was used to establish the HPV-16 E7 expressing NIKS and RPE1 cells as described previously</w:t>
      </w:r>
      <w:r w:rsidR="00F43DF7">
        <w:rPr>
          <w:sz w:val="24"/>
        </w:rPr>
        <w:fldChar w:fldCharType="begin"/>
      </w:r>
      <w:r w:rsidR="00F43DF7">
        <w:rPr>
          <w:sz w:val="24"/>
        </w:rPr>
        <w:instrText xml:space="preserve"> ADDIN EN.CITE &lt;EndNote&gt;&lt;Cite&gt;&lt;Author&gt;Fan&lt;/Author&gt;&lt;Year&gt;2013&lt;/Year&gt;&lt;RecNum&gt;23&lt;/RecNum&gt;&lt;DisplayText&gt;[1]&lt;/DisplayText&gt;&lt;record&gt;&lt;rec-number&gt;23&lt;/rec-number&gt;&lt;foreign-keys&gt;&lt;key app="EN" db-id="zs50zzd21stzs5etp5xxda9qwv95fzfewv00"&gt;23&lt;/key&gt;&lt;/foreign-keys&gt;&lt;ref-type name="Journal Article"&gt;17&lt;/ref-type&gt;&lt;contributors&gt;&lt;authors&gt;&lt;author&gt;Fan, X.&lt;/author&gt;&lt;author&gt;Liu, Y.&lt;/author&gt;&lt;author&gt;Heilman, S. A.&lt;/author&gt;&lt;author&gt;Chen, J. J.&lt;/author&gt;&lt;/authors&gt;&lt;/contributors&gt;&lt;auth-address&gt;Department of Medicine, University of Massachusetts Medical School, Worcester, MA, USA.&lt;/auth-address&gt;&lt;titles&gt;&lt;title&gt;Human papillomavirus E7 induces rereplication in response to DNA damage&lt;/title&gt;&lt;secondary-title&gt;J Virol&lt;/secondary-title&gt;&lt;alt-title&gt;Journal of virology&lt;/alt-title&gt;&lt;/titles&gt;&lt;periodical&gt;&lt;full-title&gt;J Virol&lt;/full-title&gt;&lt;abbr-1&gt;Journal of virology&lt;/abbr-1&gt;&lt;/periodical&gt;&lt;alt-periodical&gt;&lt;full-title&gt;J Virol&lt;/full-title&gt;&lt;abbr-1&gt;Journal of virology&lt;/abbr-1&gt;&lt;/alt-periodical&gt;&lt;pages&gt;1200-10&lt;/pages&gt;&lt;volume&gt;87&lt;/volume&gt;&lt;number&gt;2&lt;/number&gt;&lt;keywords&gt;&lt;keyword&gt;Cell Cycle Proteins/*biosynthesis&lt;/keyword&gt;&lt;keyword&gt;Cells, Cultured&lt;/keyword&gt;&lt;keyword&gt;*DNA Damage&lt;/keyword&gt;&lt;keyword&gt;*DNA Replication&lt;/keyword&gt;&lt;keyword&gt;Female&lt;/keyword&gt;&lt;keyword&gt;Gene Expression&lt;/keyword&gt;&lt;keyword&gt;Genomic Instability&lt;/keyword&gt;&lt;keyword&gt;Human papillomavirus 16/genetics/*pathogenicity&lt;/keyword&gt;&lt;keyword&gt;Humans&lt;/keyword&gt;&lt;keyword&gt;Papillomavirus E7 Proteins/*metabolism&lt;/keyword&gt;&lt;keyword&gt;*Polyploidy&lt;/keyword&gt;&lt;keyword&gt;Up-Regulation&lt;/keyword&gt;&lt;/keywords&gt;&lt;dates&gt;&lt;year&gt;2013&lt;/year&gt;&lt;pub-dates&gt;&lt;date&gt;Jan&lt;/date&gt;&lt;/pub-dates&gt;&lt;/dates&gt;&lt;isbn&gt;1098-5514 (Electronic)&amp;#xD;0022-538X (Linking)&lt;/isbn&gt;&lt;accession-num&gt;23152514&lt;/accession-num&gt;&lt;urls&gt;&lt;related-urls&gt;&lt;url&gt;http://www.ncbi.nlm.nih.gov/pubmed/23152514&lt;/url&gt;&lt;/related-urls&gt;&lt;/urls&gt;&lt;custom2&gt;3554066&lt;/custom2&gt;&lt;electronic-resource-num&gt;10.1128/JVI.02038-12&lt;/electronic-resource-num&gt;&lt;/record&gt;&lt;/Cite&gt;&lt;/EndNote&gt;</w:instrText>
      </w:r>
      <w:r w:rsidR="00F43DF7">
        <w:rPr>
          <w:sz w:val="24"/>
        </w:rPr>
        <w:fldChar w:fldCharType="separate"/>
      </w:r>
      <w:r w:rsidR="00F43DF7">
        <w:rPr>
          <w:noProof/>
          <w:sz w:val="24"/>
        </w:rPr>
        <w:t>[</w:t>
      </w:r>
      <w:hyperlink w:anchor="_ENREF_1" w:tooltip="Fan, 2013 #23" w:history="1">
        <w:r w:rsidR="00F43DF7">
          <w:rPr>
            <w:noProof/>
            <w:sz w:val="24"/>
          </w:rPr>
          <w:t>1</w:t>
        </w:r>
      </w:hyperlink>
      <w:r w:rsidR="00F43DF7">
        <w:rPr>
          <w:noProof/>
          <w:sz w:val="24"/>
        </w:rPr>
        <w:t>]</w:t>
      </w:r>
      <w:r w:rsidR="00F43DF7">
        <w:rPr>
          <w:sz w:val="24"/>
        </w:rPr>
        <w:fldChar w:fldCharType="end"/>
      </w:r>
      <w:r>
        <w:rPr>
          <w:bCs/>
          <w:sz w:val="24"/>
        </w:rPr>
        <w:t xml:space="preserve">. </w:t>
      </w:r>
      <w:proofErr w:type="spellStart"/>
      <w:r>
        <w:rPr>
          <w:bCs/>
          <w:sz w:val="24"/>
        </w:rPr>
        <w:t>Puromycin</w:t>
      </w:r>
      <w:proofErr w:type="spellEnd"/>
      <w:r>
        <w:rPr>
          <w:bCs/>
          <w:sz w:val="24"/>
        </w:rPr>
        <w:t xml:space="preserve"> was used to maintain the above t</w:t>
      </w:r>
      <w:r>
        <w:rPr>
          <w:rFonts w:hint="eastAsia"/>
          <w:bCs/>
          <w:sz w:val="24"/>
        </w:rPr>
        <w:t>wo</w:t>
      </w:r>
      <w:r>
        <w:rPr>
          <w:bCs/>
          <w:sz w:val="24"/>
        </w:rPr>
        <w:t xml:space="preserve"> cell lines</w:t>
      </w:r>
      <w:r>
        <w:rPr>
          <w:sz w:val="24"/>
        </w:rPr>
        <w:t xml:space="preserve">, which are limited to be used within 15 </w:t>
      </w:r>
      <w:proofErr w:type="gramStart"/>
      <w:r>
        <w:rPr>
          <w:sz w:val="24"/>
        </w:rPr>
        <w:t>generations</w:t>
      </w:r>
      <w:proofErr w:type="gramEnd"/>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MDA1MTMtMTY8L2VsZWN0cm9uaWMtcmVzb3VyY2UtbnVtPjwvcmVjb3JkPjwvQ2l0ZT48Q2l0ZT48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</w:fldData>
        </w:fldChar>
      </w:r>
      <w:r w:rsidR="00F43DF7">
        <w:rPr>
          <w:sz w:val="24"/>
        </w:rPr>
        <w:instrText xml:space="preserve"> ADDIN EN.CITE </w:instrText>
      </w:r>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MDA1MTMtMTY8L2VsZWN0cm9uaWMtcmVzb3VyY2UtbnVtPjwvcmVjb3JkPjwvQ2l0ZT48Q2l0ZT48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</w:fldData>
        </w:fldChar>
      </w:r>
      <w:r w:rsidR="00F43DF7">
        <w:rPr>
          <w:sz w:val="24"/>
        </w:rPr>
        <w:instrText xml:space="preserve"> ADDIN EN.CITE.DATA </w:instrText>
      </w:r>
      <w:r w:rsidR="00F43DF7">
        <w:rPr>
          <w:sz w:val="24"/>
        </w:rPr>
      </w:r>
      <w:r w:rsidR="00F43DF7">
        <w:rPr>
          <w:sz w:val="24"/>
        </w:rPr>
        <w:fldChar w:fldCharType="end"/>
      </w:r>
      <w:r w:rsidR="00F43DF7">
        <w:rPr>
          <w:sz w:val="24"/>
        </w:rPr>
        <w:fldChar w:fldCharType="separate"/>
      </w:r>
      <w:r w:rsidR="00F43DF7">
        <w:rPr>
          <w:noProof/>
          <w:sz w:val="24"/>
        </w:rPr>
        <w:t>[</w:t>
      </w:r>
      <w:hyperlink w:anchor="_ENREF_2" w:tooltip="Zhou, 2016 #32" w:history="1">
        <w:r w:rsidR="00F43DF7">
          <w:rPr>
            <w:noProof/>
            <w:sz w:val="24"/>
          </w:rPr>
          <w:t>2</w:t>
        </w:r>
      </w:hyperlink>
      <w:r w:rsidR="00F43DF7">
        <w:rPr>
          <w:noProof/>
          <w:sz w:val="24"/>
        </w:rPr>
        <w:t>]</w:t>
      </w:r>
      <w:r w:rsidR="00F43DF7">
        <w:rPr>
          <w:sz w:val="24"/>
        </w:rPr>
        <w:fldChar w:fldCharType="end"/>
      </w:r>
      <w:r>
        <w:rPr>
          <w:sz w:val="24"/>
        </w:rPr>
        <w:t>.</w:t>
      </w:r>
    </w:p>
    <w:p w:rsidR="00A45552" w:rsidRDefault="00A45552" w:rsidP="00A45552">
      <w:pPr>
        <w:autoSpaceDE w:val="0"/>
        <w:autoSpaceDN w:val="0"/>
        <w:adjustRightInd w:val="0"/>
        <w:spacing w:line="480" w:lineRule="auto"/>
        <w:rPr>
          <w:color w:val="000000"/>
          <w:kern w:val="0"/>
          <w:sz w:val="24"/>
        </w:rPr>
      </w:pPr>
      <w:r>
        <w:rPr>
          <w:b/>
          <w:bCs/>
          <w:color w:val="000000"/>
          <w:kern w:val="0"/>
          <w:sz w:val="24"/>
        </w:rPr>
        <w:t xml:space="preserve">RNA-seq. </w:t>
      </w:r>
      <w:r>
        <w:rPr>
          <w:color w:val="000000"/>
          <w:kern w:val="0"/>
          <w:sz w:val="24"/>
        </w:rPr>
        <w:t>Total RNA from NIKS cells was used to construct cDNA libraries for RNA-</w:t>
      </w:r>
      <w:proofErr w:type="spellStart"/>
      <w:proofErr w:type="gramStart"/>
      <w:r>
        <w:rPr>
          <w:color w:val="000000"/>
          <w:kern w:val="0"/>
          <w:sz w:val="24"/>
        </w:rPr>
        <w:t>seq</w:t>
      </w:r>
      <w:proofErr w:type="spellEnd"/>
      <w:proofErr w:type="gramEnd"/>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 </w:instrText>
      </w:r>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EN.CITE.DATA </w:instrText>
      </w:r>
      <w:r w:rsidR="00F43DF7">
        <w:rPr>
          <w:sz w:val="24"/>
        </w:rPr>
      </w:r>
      <w:r w:rsidR="00F43DF7">
        <w:rPr>
          <w:sz w:val="24"/>
        </w:rPr>
        <w:fldChar w:fldCharType="end"/>
      </w:r>
      <w:r w:rsidR="00F43DF7">
        <w:rPr>
          <w:sz w:val="24"/>
        </w:rPr>
        <w:fldChar w:fldCharType="separate"/>
      </w:r>
      <w:r w:rsidR="00F43DF7">
        <w:rPr>
          <w:noProof/>
          <w:sz w:val="24"/>
        </w:rPr>
        <w:t>[</w:t>
      </w:r>
      <w:hyperlink w:anchor="_ENREF_2" w:tooltip="Zhou, 2016 #32" w:history="1">
        <w:r w:rsidR="00F43DF7">
          <w:rPr>
            <w:noProof/>
            <w:sz w:val="24"/>
          </w:rPr>
          <w:t>2</w:t>
        </w:r>
      </w:hyperlink>
      <w:r w:rsidR="00F43DF7">
        <w:rPr>
          <w:noProof/>
          <w:sz w:val="24"/>
        </w:rPr>
        <w:t>]</w:t>
      </w:r>
      <w:r w:rsidR="00F43DF7">
        <w:rPr>
          <w:sz w:val="24"/>
        </w:rPr>
        <w:fldChar w:fldCharType="end"/>
      </w:r>
      <w:r>
        <w:rPr>
          <w:color w:val="000000"/>
          <w:kern w:val="0"/>
          <w:sz w:val="24"/>
        </w:rPr>
        <w:t xml:space="preserve">. First, the </w:t>
      </w:r>
      <w:proofErr w:type="spellStart"/>
      <w:r>
        <w:rPr>
          <w:color w:val="000000"/>
          <w:kern w:val="0"/>
          <w:sz w:val="24"/>
        </w:rPr>
        <w:t>rRNA</w:t>
      </w:r>
      <w:proofErr w:type="spellEnd"/>
      <w:r>
        <w:rPr>
          <w:color w:val="000000"/>
          <w:kern w:val="0"/>
          <w:sz w:val="24"/>
        </w:rPr>
        <w:t xml:space="preserve"> was removed by the use of a </w:t>
      </w:r>
      <w:proofErr w:type="spellStart"/>
      <w:r>
        <w:rPr>
          <w:color w:val="000000"/>
          <w:kern w:val="0"/>
          <w:sz w:val="24"/>
        </w:rPr>
        <w:t>Ribo</w:t>
      </w:r>
      <w:proofErr w:type="spellEnd"/>
      <w:r>
        <w:rPr>
          <w:color w:val="000000"/>
          <w:kern w:val="0"/>
          <w:sz w:val="24"/>
        </w:rPr>
        <w:t xml:space="preserve">-Minus kit (Life Technologies) combined with custom-designed DNA probes for </w:t>
      </w:r>
      <w:proofErr w:type="spellStart"/>
      <w:r>
        <w:rPr>
          <w:color w:val="000000"/>
          <w:kern w:val="0"/>
          <w:sz w:val="24"/>
        </w:rPr>
        <w:t>rRNAs</w:t>
      </w:r>
      <w:proofErr w:type="spellEnd"/>
      <w:r>
        <w:rPr>
          <w:color w:val="000000"/>
          <w:kern w:val="0"/>
          <w:sz w:val="24"/>
        </w:rPr>
        <w:t>. The processed total RNA was then used to construct RNA-</w:t>
      </w:r>
      <w:proofErr w:type="spellStart"/>
      <w:r>
        <w:rPr>
          <w:color w:val="000000"/>
          <w:kern w:val="0"/>
          <w:sz w:val="24"/>
        </w:rPr>
        <w:t>seq</w:t>
      </w:r>
      <w:proofErr w:type="spellEnd"/>
      <w:r>
        <w:rPr>
          <w:color w:val="000000"/>
          <w:kern w:val="0"/>
          <w:sz w:val="24"/>
        </w:rPr>
        <w:t xml:space="preserve"> libraries with a </w:t>
      </w:r>
      <w:proofErr w:type="spellStart"/>
      <w:r>
        <w:rPr>
          <w:color w:val="000000"/>
          <w:kern w:val="0"/>
          <w:sz w:val="24"/>
        </w:rPr>
        <w:t>NEBNext</w:t>
      </w:r>
      <w:proofErr w:type="spellEnd"/>
      <w:r>
        <w:rPr>
          <w:color w:val="000000"/>
          <w:kern w:val="0"/>
          <w:sz w:val="24"/>
        </w:rPr>
        <w:t xml:space="preserve"> mRNA library preparation kit (New England </w:t>
      </w:r>
      <w:proofErr w:type="spellStart"/>
      <w:r>
        <w:rPr>
          <w:color w:val="000000"/>
          <w:kern w:val="0"/>
          <w:sz w:val="24"/>
        </w:rPr>
        <w:t>BioLabs</w:t>
      </w:r>
      <w:proofErr w:type="spellEnd"/>
      <w:r>
        <w:rPr>
          <w:color w:val="000000"/>
          <w:kern w:val="0"/>
          <w:sz w:val="24"/>
        </w:rPr>
        <w:t xml:space="preserve">). In this way, double-stranded cDNA was synthesized from </w:t>
      </w:r>
      <w:proofErr w:type="spellStart"/>
      <w:r>
        <w:rPr>
          <w:color w:val="000000"/>
          <w:kern w:val="0"/>
          <w:sz w:val="24"/>
        </w:rPr>
        <w:t>rRNA</w:t>
      </w:r>
      <w:proofErr w:type="spellEnd"/>
      <w:r>
        <w:rPr>
          <w:color w:val="000000"/>
          <w:kern w:val="0"/>
          <w:sz w:val="24"/>
        </w:rPr>
        <w:t xml:space="preserve">-depleted total RNA. RNA was then end repaired, </w:t>
      </w:r>
      <w:proofErr w:type="spellStart"/>
      <w:r>
        <w:rPr>
          <w:color w:val="000000"/>
          <w:kern w:val="0"/>
          <w:sz w:val="24"/>
        </w:rPr>
        <w:t>dA</w:t>
      </w:r>
      <w:proofErr w:type="spellEnd"/>
      <w:r>
        <w:rPr>
          <w:color w:val="000000"/>
          <w:kern w:val="0"/>
          <w:sz w:val="24"/>
        </w:rPr>
        <w:t xml:space="preserve"> tailed, and ligated to standard Illumina adaptor oligonucleotides. Adaptor-ligated cDNA libraries were amplified with </w:t>
      </w:r>
      <w:proofErr w:type="spellStart"/>
      <w:r>
        <w:rPr>
          <w:color w:val="000000"/>
          <w:kern w:val="0"/>
          <w:sz w:val="24"/>
        </w:rPr>
        <w:t>Phusion</w:t>
      </w:r>
      <w:proofErr w:type="spellEnd"/>
      <w:r>
        <w:rPr>
          <w:color w:val="000000"/>
          <w:kern w:val="0"/>
          <w:sz w:val="24"/>
        </w:rPr>
        <w:t xml:space="preserve"> PCR master mix. The cDNA libraries were then loaded into a </w:t>
      </w:r>
      <w:proofErr w:type="spellStart"/>
      <w:r>
        <w:rPr>
          <w:color w:val="000000"/>
          <w:kern w:val="0"/>
          <w:sz w:val="24"/>
        </w:rPr>
        <w:t>HiSeq</w:t>
      </w:r>
      <w:proofErr w:type="spellEnd"/>
      <w:r>
        <w:rPr>
          <w:color w:val="000000"/>
          <w:kern w:val="0"/>
          <w:sz w:val="24"/>
        </w:rPr>
        <w:t xml:space="preserve"> 2000 system (Illumina) for sequencing at the Washington University Genome Technology Access Center. The resulting raw sequence reads were first analyzed using a custom bioinformatics pipeline to remove low-quality reads and then clustered before sequentially mapping to the human </w:t>
      </w:r>
      <w:r>
        <w:rPr>
          <w:color w:val="000000"/>
          <w:kern w:val="0"/>
          <w:sz w:val="24"/>
        </w:rPr>
        <w:lastRenderedPageBreak/>
        <w:t xml:space="preserve">transcriptome and genome with Bowtie was performed. In this way, about 90% of all sequence reads were mapped to known human sequences. Sequence reads mapping to the same transcript were combined and normalized on the basis of the length of the transcript and the number of total reads from each sample (reads per </w:t>
      </w:r>
      <w:proofErr w:type="spellStart"/>
      <w:r>
        <w:rPr>
          <w:color w:val="000000"/>
          <w:kern w:val="0"/>
          <w:sz w:val="24"/>
        </w:rPr>
        <w:t>kilobase</w:t>
      </w:r>
      <w:proofErr w:type="spellEnd"/>
      <w:r>
        <w:rPr>
          <w:color w:val="000000"/>
          <w:kern w:val="0"/>
          <w:sz w:val="24"/>
        </w:rPr>
        <w:t xml:space="preserve"> per million [RPKM]). Normalized read counts were compared across samples to identify changes in transcript abundance. Transcripts from the same gene locus in the human genome were combined for evaluation of expression changes at the gene level.</w:t>
      </w:r>
    </w:p>
    <w:p w:rsidR="00A45552" w:rsidRDefault="00A45552" w:rsidP="00A45552">
      <w:pPr>
        <w:spacing w:line="480" w:lineRule="auto"/>
        <w:rPr>
          <w:sz w:val="24"/>
        </w:rPr>
      </w:pPr>
      <w:r>
        <w:rPr>
          <w:b/>
          <w:bCs/>
          <w:kern w:val="0"/>
          <w:sz w:val="24"/>
        </w:rPr>
        <w:t xml:space="preserve">Flow cytometry. </w:t>
      </w:r>
      <w:r>
        <w:rPr>
          <w:kern w:val="0"/>
          <w:sz w:val="24"/>
        </w:rPr>
        <w:t xml:space="preserve">For cell cycle and polyploidy analysis, asynchronous cultured cells expressing HPV E7 or vector alone was treated with phosphate buffered saline (PBS) or bleomycin (Alexis </w:t>
      </w:r>
      <w:proofErr w:type="spellStart"/>
      <w:r>
        <w:rPr>
          <w:kern w:val="0"/>
          <w:sz w:val="24"/>
        </w:rPr>
        <w:t>Biochemicals</w:t>
      </w:r>
      <w:proofErr w:type="spellEnd"/>
      <w:r>
        <w:rPr>
          <w:kern w:val="0"/>
          <w:sz w:val="24"/>
        </w:rPr>
        <w:t>) (4</w:t>
      </w:r>
      <w:r>
        <w:rPr>
          <w:bCs/>
          <w:sz w:val="24"/>
        </w:rPr>
        <w:t>μg</w:t>
      </w:r>
      <w:r>
        <w:rPr>
          <w:kern w:val="0"/>
          <w:sz w:val="24"/>
        </w:rPr>
        <w:t xml:space="preserve"> /ml in PBS). At 24 h later, cells were fixed in 70% ethanol, treated with 50 </w:t>
      </w:r>
      <w:proofErr w:type="spellStart"/>
      <w:r>
        <w:rPr>
          <w:bCs/>
          <w:sz w:val="24"/>
        </w:rPr>
        <w:t>μg</w:t>
      </w:r>
      <w:proofErr w:type="spellEnd"/>
      <w:r>
        <w:rPr>
          <w:kern w:val="0"/>
          <w:sz w:val="24"/>
        </w:rPr>
        <w:t xml:space="preserve"> /ml RNase </w:t>
      </w:r>
      <w:proofErr w:type="gramStart"/>
      <w:r>
        <w:rPr>
          <w:kern w:val="0"/>
          <w:sz w:val="24"/>
        </w:rPr>
        <w:t>A</w:t>
      </w:r>
      <w:proofErr w:type="gramEnd"/>
      <w:r>
        <w:rPr>
          <w:kern w:val="0"/>
          <w:sz w:val="24"/>
        </w:rPr>
        <w:t xml:space="preserve"> plus 50</w:t>
      </w:r>
      <w:r>
        <w:rPr>
          <w:bCs/>
          <w:sz w:val="24"/>
        </w:rPr>
        <w:t>μg</w:t>
      </w:r>
      <w:r>
        <w:rPr>
          <w:kern w:val="0"/>
          <w:sz w:val="24"/>
        </w:rPr>
        <w:t xml:space="preserve"> /ml </w:t>
      </w:r>
      <w:proofErr w:type="spellStart"/>
      <w:r>
        <w:rPr>
          <w:kern w:val="0"/>
          <w:sz w:val="24"/>
        </w:rPr>
        <w:t>propidium</w:t>
      </w:r>
      <w:proofErr w:type="spellEnd"/>
      <w:r>
        <w:rPr>
          <w:kern w:val="0"/>
          <w:sz w:val="24"/>
        </w:rPr>
        <w:t xml:space="preserve"> iodide</w:t>
      </w:r>
      <w:r>
        <w:rPr>
          <w:rFonts w:hint="eastAsia"/>
          <w:kern w:val="0"/>
          <w:sz w:val="24"/>
        </w:rPr>
        <w:t xml:space="preserve"> (PI)</w:t>
      </w:r>
      <w:r>
        <w:rPr>
          <w:kern w:val="0"/>
          <w:sz w:val="24"/>
        </w:rPr>
        <w:t xml:space="preserve">, and analyzed by fluorescence activated cell sorting (FACS). For the </w:t>
      </w:r>
      <w:proofErr w:type="spellStart"/>
      <w:r>
        <w:rPr>
          <w:kern w:val="0"/>
          <w:sz w:val="24"/>
        </w:rPr>
        <w:t>bromodeoxyuridine</w:t>
      </w:r>
      <w:proofErr w:type="spellEnd"/>
      <w:r>
        <w:rPr>
          <w:kern w:val="0"/>
          <w:sz w:val="24"/>
        </w:rPr>
        <w:t xml:space="preserve"> (</w:t>
      </w:r>
      <w:proofErr w:type="spellStart"/>
      <w:r>
        <w:rPr>
          <w:kern w:val="0"/>
          <w:sz w:val="24"/>
        </w:rPr>
        <w:t>BrdU</w:t>
      </w:r>
      <w:proofErr w:type="spellEnd"/>
      <w:r>
        <w:rPr>
          <w:kern w:val="0"/>
          <w:sz w:val="24"/>
        </w:rPr>
        <w:t xml:space="preserve">) labeling experiment, </w:t>
      </w:r>
      <w:proofErr w:type="spellStart"/>
      <w:r>
        <w:rPr>
          <w:kern w:val="0"/>
          <w:sz w:val="24"/>
        </w:rPr>
        <w:t>BrdU</w:t>
      </w:r>
      <w:proofErr w:type="spellEnd"/>
      <w:r>
        <w:rPr>
          <w:kern w:val="0"/>
          <w:sz w:val="24"/>
        </w:rPr>
        <w:t xml:space="preserve"> (final concentration, 20</w:t>
      </w:r>
      <w:r>
        <w:rPr>
          <w:bCs/>
          <w:sz w:val="24"/>
        </w:rPr>
        <w:t>μ</w:t>
      </w:r>
      <w:r>
        <w:rPr>
          <w:kern w:val="0"/>
          <w:sz w:val="24"/>
        </w:rPr>
        <w:t xml:space="preserve">M) was added to the medium 2 h before collection of cells. After fixation, cells were </w:t>
      </w:r>
      <w:proofErr w:type="spellStart"/>
      <w:r>
        <w:rPr>
          <w:kern w:val="0"/>
          <w:sz w:val="24"/>
        </w:rPr>
        <w:t>permeabilized</w:t>
      </w:r>
      <w:proofErr w:type="spellEnd"/>
      <w:r>
        <w:rPr>
          <w:kern w:val="0"/>
          <w:sz w:val="24"/>
        </w:rPr>
        <w:t xml:space="preserve"> with 2 N </w:t>
      </w:r>
      <w:proofErr w:type="spellStart"/>
      <w:r>
        <w:rPr>
          <w:kern w:val="0"/>
          <w:sz w:val="24"/>
        </w:rPr>
        <w:t>HCl</w:t>
      </w:r>
      <w:proofErr w:type="spellEnd"/>
      <w:r>
        <w:rPr>
          <w:kern w:val="0"/>
          <w:sz w:val="24"/>
        </w:rPr>
        <w:t xml:space="preserve">–0.5% Triton X-100, neutralized with 0.1 M sodium </w:t>
      </w:r>
      <w:proofErr w:type="spellStart"/>
      <w:r>
        <w:rPr>
          <w:kern w:val="0"/>
          <w:sz w:val="24"/>
        </w:rPr>
        <w:t>tetraborate</w:t>
      </w:r>
      <w:proofErr w:type="spellEnd"/>
      <w:r>
        <w:rPr>
          <w:kern w:val="0"/>
          <w:sz w:val="24"/>
        </w:rPr>
        <w:t>, stained with monoclonal anti-</w:t>
      </w:r>
      <w:proofErr w:type="spellStart"/>
      <w:r>
        <w:rPr>
          <w:kern w:val="0"/>
          <w:sz w:val="24"/>
        </w:rPr>
        <w:t>BrdU</w:t>
      </w:r>
      <w:proofErr w:type="spellEnd"/>
      <w:r>
        <w:rPr>
          <w:kern w:val="0"/>
          <w:sz w:val="24"/>
        </w:rPr>
        <w:t xml:space="preserve"> (BD Biosciences) followed by treatment with anti-mouse IgG F(ab)2-fluorescein </w:t>
      </w:r>
      <w:proofErr w:type="spellStart"/>
      <w:r>
        <w:rPr>
          <w:kern w:val="0"/>
          <w:sz w:val="24"/>
        </w:rPr>
        <w:t>isothiocyanate</w:t>
      </w:r>
      <w:proofErr w:type="spellEnd"/>
      <w:r>
        <w:rPr>
          <w:kern w:val="0"/>
          <w:sz w:val="24"/>
        </w:rPr>
        <w:t xml:space="preserve"> (FITC) (Sigma), and counterstained with PBS–7-aminoactinomycin D (7-AAD)–RNase A. Flow cytometric analysis was performed on a BD </w:t>
      </w:r>
      <w:proofErr w:type="spellStart"/>
      <w:r>
        <w:rPr>
          <w:kern w:val="0"/>
          <w:sz w:val="24"/>
        </w:rPr>
        <w:t>FACSAria</w:t>
      </w:r>
      <w:proofErr w:type="spellEnd"/>
      <w:r>
        <w:rPr>
          <w:kern w:val="0"/>
          <w:sz w:val="24"/>
        </w:rPr>
        <w:t xml:space="preserve"> III sorter instrument equipped with BD </w:t>
      </w:r>
      <w:proofErr w:type="spellStart"/>
      <w:r>
        <w:rPr>
          <w:kern w:val="0"/>
          <w:sz w:val="24"/>
        </w:rPr>
        <w:t>FACSDiva</w:t>
      </w:r>
      <w:proofErr w:type="spellEnd"/>
      <w:r>
        <w:rPr>
          <w:kern w:val="0"/>
          <w:sz w:val="24"/>
        </w:rPr>
        <w:t xml:space="preserve"> 7.0 software (BD Biosciences, NJ, USA). FITC 490-nm fluorescence was acquired in logarithmic amplification in FL1, and 7-AAD 650-nm fluorescence was acquired in linear amplification in FL3. Cell cycle analysis was done using a </w:t>
      </w:r>
      <w:proofErr w:type="spellStart"/>
      <w:r>
        <w:rPr>
          <w:kern w:val="0"/>
          <w:sz w:val="24"/>
        </w:rPr>
        <w:t>Cytomics</w:t>
      </w:r>
      <w:proofErr w:type="spellEnd"/>
      <w:r>
        <w:rPr>
          <w:kern w:val="0"/>
          <w:sz w:val="24"/>
        </w:rPr>
        <w:t xml:space="preserve"> FC500 Flow Cytometry CXP 2.0 system.</w:t>
      </w:r>
      <w:r>
        <w:rPr>
          <w:bCs/>
          <w:sz w:val="24"/>
        </w:rPr>
        <w:t xml:space="preserve"> The</w:t>
      </w:r>
      <w:r>
        <w:rPr>
          <w:b/>
          <w:bCs/>
          <w:sz w:val="24"/>
        </w:rPr>
        <w:t xml:space="preserve"> </w:t>
      </w:r>
      <w:r>
        <w:rPr>
          <w:rFonts w:hint="eastAsia"/>
          <w:sz w:val="24"/>
        </w:rPr>
        <w:t>detailed</w:t>
      </w:r>
      <w:r>
        <w:rPr>
          <w:sz w:val="24"/>
        </w:rPr>
        <w:t xml:space="preserve"> experimental steps need to follow the published </w:t>
      </w:r>
      <w:proofErr w:type="gramStart"/>
      <w:r>
        <w:rPr>
          <w:sz w:val="24"/>
        </w:rPr>
        <w:t>articles</w:t>
      </w:r>
      <w:proofErr w:type="gramEnd"/>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 </w:instrText>
      </w:r>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EN.CITE.DATA </w:instrText>
      </w:r>
      <w:r w:rsidR="00F43DF7">
        <w:rPr>
          <w:sz w:val="24"/>
        </w:rPr>
      </w:r>
      <w:r w:rsidR="00F43DF7">
        <w:rPr>
          <w:sz w:val="24"/>
        </w:rPr>
        <w:fldChar w:fldCharType="end"/>
      </w:r>
      <w:r w:rsidR="00F43DF7">
        <w:rPr>
          <w:sz w:val="24"/>
        </w:rPr>
        <w:fldChar w:fldCharType="separate"/>
      </w:r>
      <w:r w:rsidR="00F43DF7">
        <w:rPr>
          <w:noProof/>
          <w:sz w:val="24"/>
        </w:rPr>
        <w:t>[</w:t>
      </w:r>
      <w:hyperlink w:anchor="_ENREF_2" w:tooltip="Zhou, 2016 #32" w:history="1">
        <w:r w:rsidR="00F43DF7">
          <w:rPr>
            <w:noProof/>
            <w:sz w:val="24"/>
          </w:rPr>
          <w:t>2</w:t>
        </w:r>
      </w:hyperlink>
      <w:r w:rsidR="00F43DF7">
        <w:rPr>
          <w:noProof/>
          <w:sz w:val="24"/>
        </w:rPr>
        <w:t>]</w:t>
      </w:r>
      <w:r w:rsidR="00F43DF7">
        <w:rPr>
          <w:sz w:val="24"/>
        </w:rPr>
        <w:fldChar w:fldCharType="end"/>
      </w:r>
      <w:r>
        <w:rPr>
          <w:sz w:val="24"/>
        </w:rPr>
        <w:t>.</w:t>
      </w:r>
    </w:p>
    <w:p w:rsidR="00A45552" w:rsidRDefault="00A45552" w:rsidP="00A45552">
      <w:pPr>
        <w:autoSpaceDE w:val="0"/>
        <w:autoSpaceDN w:val="0"/>
        <w:adjustRightInd w:val="0"/>
        <w:spacing w:line="480" w:lineRule="auto"/>
        <w:rPr>
          <w:kern w:val="0"/>
          <w:sz w:val="24"/>
        </w:rPr>
      </w:pPr>
      <w:proofErr w:type="gramStart"/>
      <w:r>
        <w:rPr>
          <w:b/>
          <w:bCs/>
          <w:kern w:val="0"/>
          <w:sz w:val="24"/>
        </w:rPr>
        <w:t>siRNAs</w:t>
      </w:r>
      <w:proofErr w:type="gramEnd"/>
      <w:r>
        <w:rPr>
          <w:b/>
          <w:bCs/>
          <w:kern w:val="0"/>
          <w:sz w:val="24"/>
        </w:rPr>
        <w:t xml:space="preserve"> and transfection. </w:t>
      </w:r>
      <w:r>
        <w:rPr>
          <w:bCs/>
          <w:sz w:val="24"/>
        </w:rPr>
        <w:t xml:space="preserve">The Invitrogen </w:t>
      </w:r>
      <w:proofErr w:type="spellStart"/>
      <w:r>
        <w:rPr>
          <w:bCs/>
          <w:sz w:val="24"/>
        </w:rPr>
        <w:t>Lipofectamine</w:t>
      </w:r>
      <w:proofErr w:type="spellEnd"/>
      <w:r>
        <w:rPr>
          <w:bCs/>
          <w:sz w:val="24"/>
        </w:rPr>
        <w:t xml:space="preserve"> 2000 transfection reagent was used for gene knockdown </w:t>
      </w:r>
      <w:r>
        <w:rPr>
          <w:rFonts w:hint="eastAsia"/>
          <w:bCs/>
          <w:sz w:val="24"/>
        </w:rPr>
        <w:t>(</w:t>
      </w:r>
      <w:r>
        <w:rPr>
          <w:kern w:val="0"/>
          <w:sz w:val="24"/>
        </w:rPr>
        <w:t xml:space="preserve">with a final concentration of 20 </w:t>
      </w:r>
      <w:proofErr w:type="spellStart"/>
      <w:r>
        <w:rPr>
          <w:kern w:val="0"/>
          <w:sz w:val="24"/>
        </w:rPr>
        <w:t>nM</w:t>
      </w:r>
      <w:proofErr w:type="spellEnd"/>
      <w:r>
        <w:rPr>
          <w:kern w:val="0"/>
          <w:sz w:val="24"/>
        </w:rPr>
        <w:t xml:space="preserve"> small interfering RNA (siRNA) per target gene</w:t>
      </w:r>
      <w:r>
        <w:rPr>
          <w:rFonts w:hint="eastAsia"/>
          <w:kern w:val="0"/>
          <w:sz w:val="24"/>
        </w:rPr>
        <w:t xml:space="preserve">) </w:t>
      </w:r>
      <w:r>
        <w:rPr>
          <w:bCs/>
          <w:sz w:val="24"/>
        </w:rPr>
        <w:t>and cell cycle analysis in E7 and vector-control expressing cells</w:t>
      </w:r>
      <w:r>
        <w:rPr>
          <w:b/>
          <w:bCs/>
          <w:sz w:val="24"/>
        </w:rPr>
        <w:t xml:space="preserve">. </w:t>
      </w:r>
      <w:r>
        <w:rPr>
          <w:kern w:val="0"/>
          <w:sz w:val="24"/>
        </w:rPr>
        <w:t>For gene knockdown analysis, cells were harvested 48 h post</w:t>
      </w:r>
      <w:r>
        <w:rPr>
          <w:rFonts w:hint="eastAsia"/>
          <w:kern w:val="0"/>
          <w:sz w:val="24"/>
        </w:rPr>
        <w:t xml:space="preserve"> </w:t>
      </w:r>
      <w:r>
        <w:rPr>
          <w:kern w:val="0"/>
          <w:sz w:val="24"/>
        </w:rPr>
        <w:t>transfection and specific protein levels were analyzed by</w:t>
      </w:r>
      <w:r>
        <w:rPr>
          <w:rFonts w:hint="eastAsia"/>
          <w:kern w:val="0"/>
          <w:sz w:val="24"/>
        </w:rPr>
        <w:t xml:space="preserve"> </w:t>
      </w:r>
      <w:r>
        <w:rPr>
          <w:kern w:val="0"/>
          <w:sz w:val="24"/>
        </w:rPr>
        <w:t xml:space="preserve">immunoblotting. For cell cycle analysis, 24 h after transfection, cells were treated with bleomycin </w:t>
      </w:r>
      <w:proofErr w:type="gramStart"/>
      <w:r>
        <w:rPr>
          <w:kern w:val="0"/>
          <w:sz w:val="24"/>
        </w:rPr>
        <w:t>(4</w:t>
      </w:r>
      <w:r>
        <w:rPr>
          <w:rFonts w:hint="eastAsia"/>
          <w:kern w:val="0"/>
          <w:sz w:val="24"/>
        </w:rPr>
        <w:t xml:space="preserve"> </w:t>
      </w:r>
      <w:proofErr w:type="spellStart"/>
      <w:r>
        <w:rPr>
          <w:bCs/>
          <w:sz w:val="24"/>
        </w:rPr>
        <w:t>μg</w:t>
      </w:r>
      <w:proofErr w:type="spellEnd"/>
      <w:r>
        <w:rPr>
          <w:kern w:val="0"/>
          <w:sz w:val="24"/>
        </w:rPr>
        <w:t>/ml)</w:t>
      </w:r>
      <w:proofErr w:type="gramEnd"/>
      <w:r>
        <w:rPr>
          <w:kern w:val="0"/>
          <w:sz w:val="24"/>
        </w:rPr>
        <w:t xml:space="preserve"> for an additional </w:t>
      </w:r>
      <w:r>
        <w:rPr>
          <w:rFonts w:hint="eastAsia"/>
          <w:kern w:val="0"/>
          <w:sz w:val="24"/>
        </w:rPr>
        <w:t>36</w:t>
      </w:r>
      <w:r>
        <w:rPr>
          <w:kern w:val="0"/>
          <w:sz w:val="24"/>
        </w:rPr>
        <w:t xml:space="preserve"> h.</w:t>
      </w:r>
      <w:r>
        <w:rPr>
          <w:rFonts w:hint="eastAsia"/>
          <w:kern w:val="0"/>
          <w:sz w:val="24"/>
        </w:rPr>
        <w:t xml:space="preserve"> </w:t>
      </w:r>
      <w:r>
        <w:rPr>
          <w:bCs/>
          <w:sz w:val="24"/>
        </w:rPr>
        <w:t>The sequence of siRNA duplexes were</w:t>
      </w:r>
      <w:r>
        <w:rPr>
          <w:rFonts w:hint="eastAsia"/>
          <w:bCs/>
          <w:sz w:val="24"/>
        </w:rPr>
        <w:t xml:space="preserve"> in table 1</w:t>
      </w:r>
      <w:r>
        <w:rPr>
          <w:bCs/>
          <w:sz w:val="24"/>
        </w:rPr>
        <w:t xml:space="preserve">. Detailed experimental steps need to follow our published </w:t>
      </w:r>
      <w:proofErr w:type="gramStart"/>
      <w:r>
        <w:rPr>
          <w:bCs/>
          <w:sz w:val="24"/>
        </w:rPr>
        <w:t>article</w:t>
      </w:r>
      <w:proofErr w:type="gramEnd"/>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 </w:instrText>
      </w:r>
      <w:r w:rsidR="00F43DF7">
        <w:rPr>
          <w:sz w:val="24"/>
        </w:rPr>
        <w:fldChar w:fldCharType="begin">
          <w:fldData xml:space="preserve">PEVuZE5vdGU+PENpdGU+PEF1dGhvcj5aaG91PC9BdXRob3I+PFllYXI+MjAxNjwvWWVhcj48UmVj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</w:fldData>
        </w:fldChar>
      </w:r>
      <w:r w:rsidR="00F43DF7">
        <w:rPr>
          <w:sz w:val="24"/>
        </w:rPr>
        <w:instrText xml:space="preserve"> ADDIN EN.CITE.DATA </w:instrText>
      </w:r>
      <w:r w:rsidR="00F43DF7">
        <w:rPr>
          <w:sz w:val="24"/>
        </w:rPr>
      </w:r>
      <w:r w:rsidR="00F43DF7">
        <w:rPr>
          <w:sz w:val="24"/>
        </w:rPr>
        <w:fldChar w:fldCharType="end"/>
      </w:r>
      <w:r w:rsidR="00F43DF7">
        <w:rPr>
          <w:sz w:val="24"/>
        </w:rPr>
        <w:fldChar w:fldCharType="separate"/>
      </w:r>
      <w:r w:rsidR="00F43DF7">
        <w:rPr>
          <w:noProof/>
          <w:sz w:val="24"/>
        </w:rPr>
        <w:t>[</w:t>
      </w:r>
      <w:hyperlink w:anchor="_ENREF_2" w:tooltip="Zhou, 2016 #32" w:history="1">
        <w:r w:rsidR="00F43DF7">
          <w:rPr>
            <w:noProof/>
            <w:sz w:val="24"/>
          </w:rPr>
          <w:t>2</w:t>
        </w:r>
      </w:hyperlink>
      <w:r w:rsidR="00F43DF7">
        <w:rPr>
          <w:noProof/>
          <w:sz w:val="24"/>
        </w:rPr>
        <w:t>]</w:t>
      </w:r>
      <w:r w:rsidR="00F43DF7">
        <w:rPr>
          <w:sz w:val="24"/>
        </w:rPr>
        <w:fldChar w:fldCharType="end"/>
      </w:r>
      <w:r>
        <w:rPr>
          <w:bCs/>
          <w:sz w:val="24"/>
        </w:rPr>
        <w:t>.</w:t>
      </w:r>
    </w:p>
    <w:p w:rsidR="00F43DF7" w:rsidRDefault="00F43DF7" w:rsidP="00A45552"/>
    <w:p w:rsidR="00F43DF7" w:rsidRPr="00CF65FB" w:rsidRDefault="00CF65FB" w:rsidP="00CF65FB">
      <w:pPr>
        <w:spacing w:line="480" w:lineRule="auto"/>
        <w:rPr>
          <w:b/>
          <w:kern w:val="0"/>
          <w:sz w:val="24"/>
        </w:rPr>
      </w:pPr>
      <w:r>
        <w:rPr>
          <w:b/>
          <w:kern w:val="0"/>
          <w:sz w:val="24"/>
        </w:rPr>
        <w:t>References</w:t>
      </w:r>
      <w:bookmarkStart w:id="0" w:name="_GoBack"/>
      <w:bookmarkEnd w:id="0"/>
    </w:p>
    <w:p w:rsidR="00F43DF7" w:rsidRPr="00F43DF7" w:rsidRDefault="00F43DF7" w:rsidP="00F43DF7">
      <w:pPr>
        <w:pStyle w:val="EndNoteBibliography"/>
        <w:ind w:left="720" w:hanging="720"/>
      </w:pPr>
      <w:r>
        <w:fldChar w:fldCharType="begin"/>
      </w:r>
      <w:r>
        <w:instrText xml:space="preserve"> ADDIN EN.REFLIST </w:instrText>
      </w:r>
      <w:r>
        <w:fldChar w:fldCharType="separate"/>
      </w:r>
      <w:bookmarkStart w:id="1" w:name="_ENREF_1"/>
      <w:r w:rsidRPr="00F43DF7">
        <w:t>1.</w:t>
      </w:r>
      <w:r w:rsidRPr="00F43DF7">
        <w:tab/>
        <w:t xml:space="preserve">Fan X, Liu Y, Heilman SA, Chen JJ: </w:t>
      </w:r>
      <w:r w:rsidRPr="00F43DF7">
        <w:rPr>
          <w:b/>
        </w:rPr>
        <w:t>Human papillomavirus E7 induces rereplication in response to DNA damage</w:t>
      </w:r>
      <w:r w:rsidRPr="00F43DF7">
        <w:t xml:space="preserve">. </w:t>
      </w:r>
      <w:r w:rsidRPr="00F43DF7">
        <w:rPr>
          <w:i/>
        </w:rPr>
        <w:t xml:space="preserve">Journal of virology </w:t>
      </w:r>
      <w:r w:rsidRPr="00F43DF7">
        <w:t xml:space="preserve">2013, </w:t>
      </w:r>
      <w:r w:rsidRPr="00F43DF7">
        <w:rPr>
          <w:b/>
        </w:rPr>
        <w:t>87</w:t>
      </w:r>
      <w:r w:rsidRPr="00F43DF7">
        <w:t>(2):1200-1210.</w:t>
      </w:r>
      <w:bookmarkEnd w:id="1"/>
    </w:p>
    <w:p w:rsidR="00F43DF7" w:rsidRPr="00F43DF7" w:rsidRDefault="00F43DF7" w:rsidP="00F43DF7">
      <w:pPr>
        <w:pStyle w:val="EndNoteBibliography"/>
        <w:ind w:left="720" w:hanging="720"/>
      </w:pPr>
      <w:bookmarkStart w:id="2" w:name="_ENREF_2"/>
      <w:r w:rsidRPr="00F43DF7">
        <w:t>2.</w:t>
      </w:r>
      <w:r w:rsidRPr="00F43DF7">
        <w:tab/>
        <w:t xml:space="preserve">Zhou Y, Zhang Q, Gao G, Zhang X, Liu Y, Yuan S, Wang X, Chen JJ: </w:t>
      </w:r>
      <w:r w:rsidRPr="00F43DF7">
        <w:rPr>
          <w:b/>
        </w:rPr>
        <w:t>Role of WDHD1 in Human Papillomavirus-Mediated Oncogenesis Identified by Transcriptional Profiling of E7-Expressing Cells</w:t>
      </w:r>
      <w:r w:rsidRPr="00F43DF7">
        <w:t xml:space="preserve">. </w:t>
      </w:r>
      <w:r w:rsidRPr="00F43DF7">
        <w:rPr>
          <w:i/>
        </w:rPr>
        <w:t xml:space="preserve">Journal of virology </w:t>
      </w:r>
      <w:r w:rsidRPr="00F43DF7">
        <w:t xml:space="preserve">2016, </w:t>
      </w:r>
      <w:r w:rsidRPr="00F43DF7">
        <w:rPr>
          <w:b/>
        </w:rPr>
        <w:t>90</w:t>
      </w:r>
      <w:r w:rsidRPr="00F43DF7">
        <w:t>(13):6071-6084.</w:t>
      </w:r>
      <w:bookmarkEnd w:id="2"/>
    </w:p>
    <w:p w:rsidR="00930661" w:rsidRDefault="00F43DF7" w:rsidP="00A45552">
      <w:r>
        <w:fldChar w:fldCharType="end"/>
      </w:r>
    </w:p>
    <w:sectPr w:rsidR="009306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817" w:rsidRDefault="00683817" w:rsidP="00A45552">
      <w:r>
        <w:separator/>
      </w:r>
    </w:p>
  </w:endnote>
  <w:endnote w:type="continuationSeparator" w:id="0">
    <w:p w:rsidR="00683817" w:rsidRDefault="00683817" w:rsidP="00A4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817" w:rsidRDefault="00683817" w:rsidP="00A45552">
      <w:r>
        <w:separator/>
      </w:r>
    </w:p>
  </w:footnote>
  <w:footnote w:type="continuationSeparator" w:id="0">
    <w:p w:rsidR="00683817" w:rsidRDefault="00683817" w:rsidP="00A455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Canc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s50zzd21stzs5etp5xxda9qwv95fzfewv00&quot;&gt;79篇参考文献&lt;record-ids&gt;&lt;item&gt;23&lt;/item&gt;&lt;item&gt;32&lt;/item&gt;&lt;/record-ids&gt;&lt;/item&gt;&lt;/Libraries&gt;"/>
  </w:docVars>
  <w:rsids>
    <w:rsidRoot w:val="00090D5C"/>
    <w:rsid w:val="00090D5C"/>
    <w:rsid w:val="00683817"/>
    <w:rsid w:val="00930661"/>
    <w:rsid w:val="00A45552"/>
    <w:rsid w:val="00B76844"/>
    <w:rsid w:val="00CF65FB"/>
    <w:rsid w:val="00F43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552"/>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5552"/>
    <w:pPr>
      <w:pBdr>
        <w:bottom w:val="single" w:sz="6" w:space="1" w:color="auto"/>
      </w:pBdr>
      <w:tabs>
        <w:tab w:val="center" w:pos="4153"/>
        <w:tab w:val="right" w:pos="8306"/>
      </w:tabs>
      <w:snapToGrid w:val="0"/>
      <w:jc w:val="center"/>
    </w:pPr>
    <w:rPr>
      <w:b/>
      <w:sz w:val="18"/>
      <w:szCs w:val="18"/>
    </w:rPr>
  </w:style>
  <w:style w:type="character" w:customStyle="1" w:styleId="Char">
    <w:name w:val="页眉 Char"/>
    <w:basedOn w:val="a0"/>
    <w:link w:val="a3"/>
    <w:uiPriority w:val="99"/>
    <w:rsid w:val="00A45552"/>
    <w:rPr>
      <w:rFonts w:ascii="Times New Roman" w:eastAsia="宋体" w:hAnsi="Times New Roman" w:cs="Times New Roman"/>
      <w:b/>
      <w:sz w:val="18"/>
      <w:szCs w:val="18"/>
    </w:rPr>
  </w:style>
  <w:style w:type="paragraph" w:styleId="a4">
    <w:name w:val="footer"/>
    <w:basedOn w:val="a"/>
    <w:link w:val="Char0"/>
    <w:uiPriority w:val="99"/>
    <w:unhideWhenUsed/>
    <w:rsid w:val="00A45552"/>
    <w:pPr>
      <w:tabs>
        <w:tab w:val="center" w:pos="4153"/>
        <w:tab w:val="right" w:pos="8306"/>
      </w:tabs>
      <w:snapToGrid w:val="0"/>
      <w:jc w:val="left"/>
    </w:pPr>
    <w:rPr>
      <w:b/>
      <w:sz w:val="18"/>
      <w:szCs w:val="18"/>
    </w:rPr>
  </w:style>
  <w:style w:type="character" w:customStyle="1" w:styleId="Char0">
    <w:name w:val="页脚 Char"/>
    <w:basedOn w:val="a0"/>
    <w:link w:val="a4"/>
    <w:uiPriority w:val="99"/>
    <w:rsid w:val="00A45552"/>
    <w:rPr>
      <w:rFonts w:ascii="Times New Roman" w:eastAsia="宋体" w:hAnsi="Times New Roman" w:cs="Times New Roman"/>
      <w:b/>
      <w:sz w:val="18"/>
      <w:szCs w:val="18"/>
    </w:rPr>
  </w:style>
  <w:style w:type="paragraph" w:customStyle="1" w:styleId="EndNoteBibliographyTitle">
    <w:name w:val="EndNote Bibliography Title"/>
    <w:basedOn w:val="a"/>
    <w:link w:val="EndNoteBibliographyTitleChar"/>
    <w:rsid w:val="00F43DF7"/>
    <w:pPr>
      <w:jc w:val="center"/>
    </w:pPr>
    <w:rPr>
      <w:noProof/>
      <w:sz w:val="20"/>
    </w:rPr>
  </w:style>
  <w:style w:type="character" w:customStyle="1" w:styleId="EndNoteBibliographyTitleChar">
    <w:name w:val="EndNote Bibliography Title Char"/>
    <w:basedOn w:val="a0"/>
    <w:link w:val="EndNoteBibliographyTitle"/>
    <w:rsid w:val="00F43DF7"/>
    <w:rPr>
      <w:rFonts w:ascii="Times New Roman" w:eastAsia="宋体" w:hAnsi="Times New Roman" w:cs="Times New Roman"/>
      <w:noProof/>
      <w:sz w:val="20"/>
      <w:szCs w:val="24"/>
    </w:rPr>
  </w:style>
  <w:style w:type="paragraph" w:customStyle="1" w:styleId="EndNoteBibliography">
    <w:name w:val="EndNote Bibliography"/>
    <w:basedOn w:val="a"/>
    <w:link w:val="EndNoteBibliographyChar"/>
    <w:rsid w:val="00F43DF7"/>
    <w:rPr>
      <w:noProof/>
      <w:sz w:val="20"/>
    </w:rPr>
  </w:style>
  <w:style w:type="character" w:customStyle="1" w:styleId="EndNoteBibliographyChar">
    <w:name w:val="EndNote Bibliography Char"/>
    <w:basedOn w:val="a0"/>
    <w:link w:val="EndNoteBibliography"/>
    <w:rsid w:val="00F43DF7"/>
    <w:rPr>
      <w:rFonts w:ascii="Times New Roman" w:eastAsia="宋体" w:hAnsi="Times New Roman" w:cs="Times New Roman"/>
      <w:noProof/>
      <w:sz w:val="20"/>
      <w:szCs w:val="24"/>
    </w:rPr>
  </w:style>
  <w:style w:type="character" w:styleId="a5">
    <w:name w:val="Hyperlink"/>
    <w:basedOn w:val="a0"/>
    <w:uiPriority w:val="99"/>
    <w:unhideWhenUsed/>
    <w:rsid w:val="00F43D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552"/>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5552"/>
    <w:pPr>
      <w:pBdr>
        <w:bottom w:val="single" w:sz="6" w:space="1" w:color="auto"/>
      </w:pBdr>
      <w:tabs>
        <w:tab w:val="center" w:pos="4153"/>
        <w:tab w:val="right" w:pos="8306"/>
      </w:tabs>
      <w:snapToGrid w:val="0"/>
      <w:jc w:val="center"/>
    </w:pPr>
    <w:rPr>
      <w:b/>
      <w:sz w:val="18"/>
      <w:szCs w:val="18"/>
    </w:rPr>
  </w:style>
  <w:style w:type="character" w:customStyle="1" w:styleId="Char">
    <w:name w:val="页眉 Char"/>
    <w:basedOn w:val="a0"/>
    <w:link w:val="a3"/>
    <w:uiPriority w:val="99"/>
    <w:rsid w:val="00A45552"/>
    <w:rPr>
      <w:rFonts w:ascii="Times New Roman" w:eastAsia="宋体" w:hAnsi="Times New Roman" w:cs="Times New Roman"/>
      <w:b/>
      <w:sz w:val="18"/>
      <w:szCs w:val="18"/>
    </w:rPr>
  </w:style>
  <w:style w:type="paragraph" w:styleId="a4">
    <w:name w:val="footer"/>
    <w:basedOn w:val="a"/>
    <w:link w:val="Char0"/>
    <w:uiPriority w:val="99"/>
    <w:unhideWhenUsed/>
    <w:rsid w:val="00A45552"/>
    <w:pPr>
      <w:tabs>
        <w:tab w:val="center" w:pos="4153"/>
        <w:tab w:val="right" w:pos="8306"/>
      </w:tabs>
      <w:snapToGrid w:val="0"/>
      <w:jc w:val="left"/>
    </w:pPr>
    <w:rPr>
      <w:b/>
      <w:sz w:val="18"/>
      <w:szCs w:val="18"/>
    </w:rPr>
  </w:style>
  <w:style w:type="character" w:customStyle="1" w:styleId="Char0">
    <w:name w:val="页脚 Char"/>
    <w:basedOn w:val="a0"/>
    <w:link w:val="a4"/>
    <w:uiPriority w:val="99"/>
    <w:rsid w:val="00A45552"/>
    <w:rPr>
      <w:rFonts w:ascii="Times New Roman" w:eastAsia="宋体" w:hAnsi="Times New Roman" w:cs="Times New Roman"/>
      <w:b/>
      <w:sz w:val="18"/>
      <w:szCs w:val="18"/>
    </w:rPr>
  </w:style>
  <w:style w:type="paragraph" w:customStyle="1" w:styleId="EndNoteBibliographyTitle">
    <w:name w:val="EndNote Bibliography Title"/>
    <w:basedOn w:val="a"/>
    <w:link w:val="EndNoteBibliographyTitleChar"/>
    <w:rsid w:val="00F43DF7"/>
    <w:pPr>
      <w:jc w:val="center"/>
    </w:pPr>
    <w:rPr>
      <w:noProof/>
      <w:sz w:val="20"/>
    </w:rPr>
  </w:style>
  <w:style w:type="character" w:customStyle="1" w:styleId="EndNoteBibliographyTitleChar">
    <w:name w:val="EndNote Bibliography Title Char"/>
    <w:basedOn w:val="a0"/>
    <w:link w:val="EndNoteBibliographyTitle"/>
    <w:rsid w:val="00F43DF7"/>
    <w:rPr>
      <w:rFonts w:ascii="Times New Roman" w:eastAsia="宋体" w:hAnsi="Times New Roman" w:cs="Times New Roman"/>
      <w:noProof/>
      <w:sz w:val="20"/>
      <w:szCs w:val="24"/>
    </w:rPr>
  </w:style>
  <w:style w:type="paragraph" w:customStyle="1" w:styleId="EndNoteBibliography">
    <w:name w:val="EndNote Bibliography"/>
    <w:basedOn w:val="a"/>
    <w:link w:val="EndNoteBibliographyChar"/>
    <w:rsid w:val="00F43DF7"/>
    <w:rPr>
      <w:noProof/>
      <w:sz w:val="20"/>
    </w:rPr>
  </w:style>
  <w:style w:type="character" w:customStyle="1" w:styleId="EndNoteBibliographyChar">
    <w:name w:val="EndNote Bibliography Char"/>
    <w:basedOn w:val="a0"/>
    <w:link w:val="EndNoteBibliography"/>
    <w:rsid w:val="00F43DF7"/>
    <w:rPr>
      <w:rFonts w:ascii="Times New Roman" w:eastAsia="宋体" w:hAnsi="Times New Roman" w:cs="Times New Roman"/>
      <w:noProof/>
      <w:sz w:val="20"/>
      <w:szCs w:val="24"/>
    </w:rPr>
  </w:style>
  <w:style w:type="character" w:styleId="a5">
    <w:name w:val="Hyperlink"/>
    <w:basedOn w:val="a0"/>
    <w:uiPriority w:val="99"/>
    <w:unhideWhenUsed/>
    <w:rsid w:val="00F43D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1026</Words>
  <Characters>5850</Characters>
  <Application>Microsoft Office Word</Application>
  <DocSecurity>0</DocSecurity>
  <Lines>48</Lines>
  <Paragraphs>13</Paragraphs>
  <ScaleCrop>false</ScaleCrop>
  <Company>P R C</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2020-07-02T05:00:00Z</dcterms:created>
  <dcterms:modified xsi:type="dcterms:W3CDTF">2020-07-02T05:05:00Z</dcterms:modified>
</cp:coreProperties>
</file>