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Supplementary Figures</w:t>
      </w: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2B5C9D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04BBCB0B" wp14:editId="33690631">
            <wp:extent cx="5760720" cy="2019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otherapie 3 day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FC9" w:rsidRPr="002B5C9D" w:rsidRDefault="00DC2FC9" w:rsidP="001A0A59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DC2FC9" w:rsidRPr="001A0A59" w:rsidRDefault="00DC2FC9" w:rsidP="00DC2FC9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0B0D74">
        <w:rPr>
          <w:rFonts w:ascii="Arial" w:hAnsi="Arial" w:cs="Arial"/>
          <w:b/>
          <w:bCs/>
          <w:sz w:val="20"/>
          <w:szCs w:val="20"/>
          <w:lang w:val="en-GB"/>
        </w:rPr>
        <w:t>Supplementary Figure 1. Dose response curves of gemcitabine (A) and interferon-</w:t>
      </w:r>
      <w:proofErr w:type="spellStart"/>
      <w:r w:rsidRPr="000B0D74">
        <w:rPr>
          <w:rFonts w:ascii="Arial" w:hAnsi="Arial" w:cs="Arial"/>
          <w:b/>
          <w:bCs/>
          <w:sz w:val="20"/>
          <w:szCs w:val="20"/>
          <w:lang w:val="en-GB"/>
        </w:rPr>
        <w:t>bèta</w:t>
      </w:r>
      <w:proofErr w:type="spellEnd"/>
      <w:r w:rsidRPr="000B0D74">
        <w:rPr>
          <w:rFonts w:ascii="Arial" w:hAnsi="Arial" w:cs="Arial"/>
          <w:b/>
          <w:bCs/>
          <w:sz w:val="20"/>
          <w:szCs w:val="20"/>
          <w:lang w:val="en-GB"/>
        </w:rPr>
        <w:t xml:space="preserve"> (B) on total DNA amount, as a measure of cell number, in ● BxPC-3, </w:t>
      </w:r>
      <w:r w:rsidRPr="000B0D74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■ </w:t>
      </w:r>
      <w:r w:rsidRPr="000B0D74">
        <w:rPr>
          <w:rFonts w:ascii="Arial" w:hAnsi="Arial" w:cs="Arial"/>
          <w:b/>
          <w:bCs/>
          <w:sz w:val="20"/>
          <w:szCs w:val="20"/>
          <w:lang w:val="en-GB"/>
        </w:rPr>
        <w:t xml:space="preserve">CFPAC-1, and </w:t>
      </w:r>
      <w:r w:rsidRPr="000B0D74">
        <w:rPr>
          <w:rFonts w:ascii="Arial" w:eastAsia="Calibri" w:hAnsi="Arial" w:cs="Arial"/>
          <w:color w:val="000000" w:themeColor="text1"/>
          <w:sz w:val="20"/>
          <w:szCs w:val="20"/>
          <w:lang w:val="en-GB" w:eastAsia="ja-JP"/>
        </w:rPr>
        <w:t xml:space="preserve">▲ </w:t>
      </w:r>
      <w:r w:rsidRPr="000B0D74">
        <w:rPr>
          <w:rFonts w:ascii="Arial" w:hAnsi="Arial" w:cs="Arial"/>
          <w:b/>
          <w:bCs/>
          <w:sz w:val="20"/>
          <w:szCs w:val="20"/>
          <w:lang w:val="en-GB"/>
        </w:rPr>
        <w:t>Panc-1 after 3 days of treatment.</w:t>
      </w:r>
      <w:r w:rsidRPr="000B0D74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r w:rsidRPr="000B0D74">
        <w:rPr>
          <w:rFonts w:ascii="Arial" w:hAnsi="Arial" w:cs="Arial"/>
          <w:sz w:val="20"/>
          <w:szCs w:val="20"/>
          <w:lang w:val="en-GB"/>
        </w:rPr>
        <w:t xml:space="preserve">Values represent mean ± SEM of at least two independent experiments in quadruplicate and are shown as the percentage of control. </w:t>
      </w: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DC2FC9" w:rsidRPr="002B5C9D" w:rsidRDefault="00DC2FC9" w:rsidP="001A0A59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1A0A59" w:rsidRPr="002B5C9D" w:rsidRDefault="001A0A59" w:rsidP="001A0A59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F1F4B2F" wp14:editId="4E942B8E">
            <wp:extent cx="5753100" cy="2476500"/>
            <wp:effectExtent l="0" t="0" r="0" b="0"/>
            <wp:docPr id="6" name="Afbeelding 6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 S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A59" w:rsidRPr="002B5C9D" w:rsidRDefault="001A0A59" w:rsidP="001A0A59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DC2FC9" w:rsidRPr="000B0D74" w:rsidRDefault="00DC2FC9" w:rsidP="00DC2FC9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B0D74">
        <w:rPr>
          <w:rFonts w:ascii="Arial" w:hAnsi="Arial" w:cs="Arial"/>
          <w:b/>
          <w:bCs/>
          <w:sz w:val="20"/>
          <w:szCs w:val="20"/>
          <w:lang w:val="en-GB"/>
        </w:rPr>
        <w:t>Supplementary Figure 2. Effect of interferon-</w:t>
      </w:r>
      <w:proofErr w:type="spellStart"/>
      <w:r w:rsidRPr="000B0D74">
        <w:rPr>
          <w:rFonts w:ascii="Arial" w:hAnsi="Arial" w:cs="Arial"/>
          <w:b/>
          <w:bCs/>
          <w:sz w:val="20"/>
          <w:szCs w:val="20"/>
          <w:lang w:val="en-GB"/>
        </w:rPr>
        <w:t>bѐta</w:t>
      </w:r>
      <w:proofErr w:type="spellEnd"/>
      <w:r w:rsidRPr="000B0D74">
        <w:rPr>
          <w:rFonts w:ascii="Arial" w:hAnsi="Arial" w:cs="Arial"/>
          <w:b/>
          <w:bCs/>
          <w:sz w:val="20"/>
          <w:szCs w:val="20"/>
          <w:lang w:val="en-GB"/>
        </w:rPr>
        <w:t xml:space="preserve"> (IFN-β) pre-treatment on gemcitabine response in BxPC-3 (left panel), CFPAC-1 (middle panel), and Panc-1 (right panel).</w:t>
      </w:r>
      <w:r w:rsidRPr="000B0D74">
        <w:rPr>
          <w:rFonts w:ascii="Arial" w:hAnsi="Arial" w:cs="Arial"/>
          <w:sz w:val="20"/>
          <w:szCs w:val="20"/>
          <w:lang w:val="en-GB"/>
        </w:rPr>
        <w:t xml:space="preserve"> Upper panel represents the anti-proliferative effect of 4, 12, 24, and 72 hr IFN-β monotherapy. Lower panel represents overall gemcitabine response in </w:t>
      </w:r>
      <w:r w:rsidRPr="000B0D74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untreated control cells (solid line; ●) versus IFN-β pre-treated cells (dotted lines; ■ 4 hr, </w:t>
      </w:r>
      <w:r w:rsidRPr="000B0D74">
        <w:rPr>
          <w:rFonts w:ascii="Arial" w:eastAsia="Calibri" w:hAnsi="Arial" w:cs="Arial"/>
          <w:color w:val="000000" w:themeColor="text1"/>
          <w:sz w:val="20"/>
          <w:szCs w:val="20"/>
          <w:lang w:val="en-GB" w:eastAsia="ja-JP"/>
        </w:rPr>
        <w:t>▲</w:t>
      </w:r>
      <w:r w:rsidRPr="000B0D74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12 hr, </w:t>
      </w:r>
      <w:r w:rsidRPr="000B0D74">
        <w:rPr>
          <w:rFonts w:ascii="Arial" w:eastAsia="Calibri" w:hAnsi="Arial" w:cs="Arial"/>
          <w:color w:val="000000" w:themeColor="text1"/>
          <w:sz w:val="20"/>
          <w:szCs w:val="20"/>
          <w:lang w:val="en-GB" w:eastAsia="ja-JP"/>
        </w:rPr>
        <w:t>▼ 24 hr, and</w:t>
      </w:r>
      <w:r w:rsidRPr="000B0D74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♦ 72 hr). Data are presented as percentage of vehicle treated control. For</w:t>
      </w:r>
      <w:r w:rsidRPr="000B0D74">
        <w:rPr>
          <w:rFonts w:ascii="Arial" w:eastAsia="Calibri" w:hAnsi="Arial" w:cs="Arial"/>
          <w:sz w:val="20"/>
          <w:szCs w:val="20"/>
          <w:lang w:val="en-GB"/>
        </w:rPr>
        <w:t xml:space="preserve"> IFN-β pre-treated cells,</w:t>
      </w:r>
      <w:r w:rsidRPr="000B0D74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0B0D74">
        <w:rPr>
          <w:rFonts w:ascii="Arial" w:eastAsia="Calibri" w:hAnsi="Arial" w:cs="Arial"/>
          <w:sz w:val="20"/>
          <w:szCs w:val="20"/>
          <w:lang w:val="en-GB"/>
        </w:rPr>
        <w:t xml:space="preserve">effect of IFN-β was set at 100% and used as control. Used concentrations IFN-β: 100 IU/ml for BxPC-3 and CFPAC-1, and 1000 IU/ml  for Panc-1. </w:t>
      </w:r>
      <w:r w:rsidRPr="000B0D74">
        <w:rPr>
          <w:rFonts w:ascii="Arial" w:hAnsi="Arial" w:cs="Arial"/>
          <w:sz w:val="20"/>
          <w:szCs w:val="20"/>
          <w:lang w:val="en-GB"/>
        </w:rPr>
        <w:t>Values represent mean ± SEM of at least two independent experiments in quadruplicate and are shown as a percentage of control. **p&lt;0.01 and ***p&lt;0.001 versus control.</w:t>
      </w:r>
    </w:p>
    <w:p w:rsidR="001A0A59" w:rsidRPr="002B5C9D" w:rsidRDefault="001A0A59" w:rsidP="001A0A59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1A0A59" w:rsidRPr="002B5C9D" w:rsidRDefault="001A0A59" w:rsidP="001A0A59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1A0A59" w:rsidRPr="002B5C9D" w:rsidRDefault="001A0A59" w:rsidP="001A0A59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1A0A59" w:rsidRPr="002B5C9D" w:rsidRDefault="001A0A59" w:rsidP="001A0A59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1A0A59" w:rsidRPr="002B5C9D" w:rsidRDefault="001A0A59" w:rsidP="001A0A59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  <w:sectPr w:rsidR="001A0A59" w:rsidRPr="002B5C9D" w:rsidSect="001A0A5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A0A59" w:rsidRP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1A0A59" w:rsidRPr="002B5C9D" w:rsidRDefault="001A0A59" w:rsidP="001A0A59">
      <w:pPr>
        <w:spacing w:line="48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2B5C9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557CC7E" wp14:editId="344CB273">
            <wp:extent cx="8891270" cy="2298700"/>
            <wp:effectExtent l="0" t="0" r="508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fn + gem tegelij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FC9" w:rsidRPr="000B0D74" w:rsidRDefault="00DC2FC9" w:rsidP="00DC2FC9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bookmarkStart w:id="0" w:name="_GoBack"/>
      <w:bookmarkEnd w:id="0"/>
      <w:r w:rsidRPr="000B0D74">
        <w:rPr>
          <w:rFonts w:ascii="Arial" w:hAnsi="Arial" w:cs="Arial"/>
          <w:b/>
          <w:bCs/>
          <w:sz w:val="20"/>
          <w:szCs w:val="20"/>
          <w:lang w:val="en-GB"/>
        </w:rPr>
        <w:t>Supplementary Figure 3. Effect of interferon-</w:t>
      </w:r>
      <w:proofErr w:type="spellStart"/>
      <w:r w:rsidRPr="000B0D74">
        <w:rPr>
          <w:rFonts w:ascii="Arial" w:hAnsi="Arial" w:cs="Arial"/>
          <w:b/>
          <w:bCs/>
          <w:sz w:val="20"/>
          <w:szCs w:val="20"/>
          <w:lang w:val="en-GB"/>
        </w:rPr>
        <w:t>bѐta</w:t>
      </w:r>
      <w:proofErr w:type="spellEnd"/>
      <w:r w:rsidRPr="000B0D74">
        <w:rPr>
          <w:rFonts w:ascii="Arial" w:hAnsi="Arial" w:cs="Arial"/>
          <w:b/>
          <w:bCs/>
          <w:sz w:val="20"/>
          <w:szCs w:val="20"/>
          <w:lang w:val="en-GB"/>
        </w:rPr>
        <w:t xml:space="preserve"> (IFN-β) on gemcitabine response in BxPC-3 (left panel), CFPAC-1 (middle panel), and Panc-1 (right panel). </w:t>
      </w:r>
      <w:r w:rsidRPr="000B0D74">
        <w:rPr>
          <w:rFonts w:ascii="Arial" w:hAnsi="Arial" w:cs="Arial"/>
          <w:bCs/>
          <w:sz w:val="20"/>
          <w:szCs w:val="20"/>
          <w:lang w:val="en-GB"/>
        </w:rPr>
        <w:t>Ce</w:t>
      </w:r>
      <w:r w:rsidRPr="000B0D74">
        <w:rPr>
          <w:rFonts w:ascii="Arial" w:hAnsi="Arial" w:cs="Arial"/>
          <w:b/>
          <w:bCs/>
          <w:sz w:val="20"/>
          <w:szCs w:val="20"/>
          <w:lang w:val="en-GB"/>
        </w:rPr>
        <w:t>l</w:t>
      </w:r>
      <w:r w:rsidRPr="000B0D74">
        <w:rPr>
          <w:rFonts w:ascii="Arial" w:hAnsi="Arial" w:cs="Arial"/>
          <w:sz w:val="20"/>
          <w:szCs w:val="20"/>
          <w:lang w:val="en-GB"/>
        </w:rPr>
        <w:t>ls were treated for 3 days with gemcitabine</w:t>
      </w:r>
      <w:r w:rsidRPr="000B0D74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monotherapy (white bars) or with simultaneously IFN-β plus gemcitabine (black bars). Data are presented as percentage of vehicle treated control. For</w:t>
      </w:r>
      <w:r w:rsidRPr="000B0D74">
        <w:rPr>
          <w:rFonts w:ascii="Arial" w:eastAsia="Calibri" w:hAnsi="Arial" w:cs="Arial"/>
          <w:sz w:val="20"/>
          <w:szCs w:val="20"/>
          <w:lang w:val="en-GB"/>
        </w:rPr>
        <w:t xml:space="preserve"> IFN-β treated cells,</w:t>
      </w:r>
      <w:r w:rsidRPr="000B0D74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0B0D74">
        <w:rPr>
          <w:rFonts w:ascii="Arial" w:eastAsia="Calibri" w:hAnsi="Arial" w:cs="Arial"/>
          <w:sz w:val="20"/>
          <w:szCs w:val="20"/>
          <w:lang w:val="en-GB"/>
        </w:rPr>
        <w:t xml:space="preserve">effect of IFN-β was set at 100% and used as control. Used concentrations IFN-β: 100 IU/ml for BxPC-3 and CFPAC-1, and 1000 IU/ml  for Panc-1. </w:t>
      </w:r>
      <w:r w:rsidRPr="000B0D74">
        <w:rPr>
          <w:rFonts w:ascii="Arial" w:hAnsi="Arial" w:cs="Arial"/>
          <w:sz w:val="20"/>
          <w:szCs w:val="20"/>
          <w:lang w:val="en-GB"/>
        </w:rPr>
        <w:t>Values represent mean ± SEM of at least two independent experiments in quadruplicate and are shown as a percentage of control. ***p&lt;0.001 versus control.</w:t>
      </w:r>
    </w:p>
    <w:p w:rsidR="001A0A59" w:rsidRPr="002B5C9D" w:rsidRDefault="001A0A59" w:rsidP="001A0A59">
      <w:pPr>
        <w:spacing w:line="48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1A0A59" w:rsidRPr="002B5C9D" w:rsidRDefault="001A0A59" w:rsidP="001A0A59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1A0A59" w:rsidRPr="002B5C9D" w:rsidRDefault="001A0A59" w:rsidP="001A0A59">
      <w:pPr>
        <w:spacing w:line="480" w:lineRule="auto"/>
        <w:jc w:val="center"/>
        <w:rPr>
          <w:rFonts w:ascii="Arial" w:hAnsi="Arial" w:cs="Arial"/>
          <w:sz w:val="22"/>
          <w:szCs w:val="22"/>
          <w:lang w:val="en-GB"/>
        </w:rPr>
      </w:pPr>
    </w:p>
    <w:p w:rsidR="001A0A59" w:rsidRDefault="001A0A59" w:rsidP="00DC2FC9">
      <w:pPr>
        <w:spacing w:line="480" w:lineRule="auto"/>
        <w:rPr>
          <w:rFonts w:ascii="Arial" w:hAnsi="Arial" w:cs="Arial"/>
          <w:sz w:val="22"/>
          <w:szCs w:val="22"/>
          <w:lang w:val="en-GB"/>
        </w:rPr>
      </w:pPr>
    </w:p>
    <w:p w:rsidR="001A0A59" w:rsidRPr="002B5C9D" w:rsidRDefault="001A0A59" w:rsidP="001A0A59">
      <w:pPr>
        <w:spacing w:line="48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2B5C9D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D66B3D9" wp14:editId="680E965F">
            <wp:extent cx="8891270" cy="2101850"/>
            <wp:effectExtent l="0" t="0" r="5080" b="0"/>
            <wp:docPr id="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yout 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FC9" w:rsidRDefault="00DC2FC9" w:rsidP="00DC2FC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DC2FC9" w:rsidRPr="000B0D74" w:rsidRDefault="00DC2FC9" w:rsidP="00DC2FC9">
      <w:pPr>
        <w:spacing w:line="480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0B0D74">
        <w:rPr>
          <w:rFonts w:ascii="Arial" w:hAnsi="Arial" w:cs="Arial"/>
          <w:b/>
          <w:bCs/>
          <w:sz w:val="20"/>
          <w:szCs w:val="20"/>
          <w:lang w:val="en-GB"/>
        </w:rPr>
        <w:t xml:space="preserve">Supplementary Figure 4. Baseline mRNA expression of genes involved in gemcitabine transport and metabolism in BxPC-3 (light grey bar), CFPAC-1 (dark grey bar), and Panc-1 (black bar). </w:t>
      </w:r>
      <w:r w:rsidRPr="000B0D74">
        <w:rPr>
          <w:rFonts w:ascii="Arial" w:hAnsi="Arial" w:cs="Arial"/>
          <w:bCs/>
          <w:sz w:val="20"/>
          <w:szCs w:val="20"/>
          <w:vertAlign w:val="superscript"/>
          <w:lang w:val="en-GB"/>
        </w:rPr>
        <w:t xml:space="preserve"># </w:t>
      </w:r>
      <w:r w:rsidRPr="000B0D74">
        <w:rPr>
          <w:rFonts w:ascii="Arial" w:hAnsi="Arial" w:cs="Arial"/>
          <w:bCs/>
          <w:i/>
          <w:sz w:val="20"/>
          <w:szCs w:val="20"/>
          <w:lang w:val="en-GB"/>
        </w:rPr>
        <w:t xml:space="preserve">SLC28A1 </w:t>
      </w:r>
      <w:r w:rsidRPr="000B0D74">
        <w:rPr>
          <w:rFonts w:ascii="Arial" w:hAnsi="Arial" w:cs="Arial"/>
          <w:bCs/>
          <w:sz w:val="20"/>
          <w:szCs w:val="20"/>
          <w:lang w:val="en-GB"/>
        </w:rPr>
        <w:t xml:space="preserve">and </w:t>
      </w:r>
      <w:r w:rsidRPr="000B0D74">
        <w:rPr>
          <w:rFonts w:ascii="Arial" w:hAnsi="Arial" w:cs="Arial"/>
          <w:bCs/>
          <w:i/>
          <w:sz w:val="20"/>
          <w:szCs w:val="20"/>
          <w:lang w:val="en-GB"/>
        </w:rPr>
        <w:t xml:space="preserve">SLC28A3 </w:t>
      </w:r>
      <w:r w:rsidRPr="000B0D74">
        <w:rPr>
          <w:rFonts w:ascii="Arial" w:hAnsi="Arial" w:cs="Arial"/>
          <w:bCs/>
          <w:sz w:val="20"/>
          <w:szCs w:val="20"/>
          <w:lang w:val="en-GB"/>
        </w:rPr>
        <w:t>expression levels</w:t>
      </w:r>
      <w:r w:rsidRPr="000B0D74">
        <w:rPr>
          <w:rFonts w:ascii="Arial" w:hAnsi="Arial" w:cs="Arial"/>
          <w:bCs/>
          <w:i/>
          <w:sz w:val="20"/>
          <w:szCs w:val="20"/>
          <w:lang w:val="en-GB"/>
        </w:rPr>
        <w:t xml:space="preserve"> </w:t>
      </w:r>
      <w:r w:rsidRPr="000B0D74">
        <w:rPr>
          <w:rFonts w:ascii="Arial" w:hAnsi="Arial" w:cs="Arial"/>
          <w:bCs/>
          <w:sz w:val="20"/>
          <w:szCs w:val="20"/>
          <w:lang w:val="en-GB"/>
        </w:rPr>
        <w:t xml:space="preserve">were low (&lt;0.001) in BxPC-3 and CFPAC-1, and undetectable in Panc-1. </w:t>
      </w:r>
      <w:r w:rsidRPr="000B0D74">
        <w:rPr>
          <w:rFonts w:ascii="Arial" w:hAnsi="Arial" w:cs="Arial"/>
          <w:bCs/>
          <w:sz w:val="20"/>
          <w:szCs w:val="20"/>
          <w:vertAlign w:val="superscript"/>
          <w:lang w:val="en-GB"/>
        </w:rPr>
        <w:t xml:space="preserve">## </w:t>
      </w:r>
      <w:r w:rsidRPr="000B0D74">
        <w:rPr>
          <w:rFonts w:ascii="Arial" w:hAnsi="Arial" w:cs="Arial"/>
          <w:bCs/>
          <w:i/>
          <w:sz w:val="20"/>
          <w:szCs w:val="20"/>
          <w:lang w:val="en-GB"/>
        </w:rPr>
        <w:t xml:space="preserve">CDA </w:t>
      </w:r>
      <w:r w:rsidRPr="000B0D74">
        <w:rPr>
          <w:rFonts w:ascii="Arial" w:hAnsi="Arial" w:cs="Arial"/>
          <w:bCs/>
          <w:sz w:val="20"/>
          <w:szCs w:val="20"/>
          <w:lang w:val="en-GB"/>
        </w:rPr>
        <w:t>expression in Panc-1 was &lt;0.001</w:t>
      </w: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1A0A59" w:rsidRDefault="001A0A59" w:rsidP="001A0A59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  <w:sectPr w:rsidR="001A0A59" w:rsidSect="001A0A59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1A0A59" w:rsidRPr="000B0D74" w:rsidRDefault="00FA6F30" w:rsidP="001A0A59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lastRenderedPageBreak/>
        <w:t>Supplementary Table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126"/>
        <w:gridCol w:w="426"/>
        <w:gridCol w:w="283"/>
      </w:tblGrid>
      <w:tr w:rsidR="001A0A59" w:rsidRPr="000B0D74" w:rsidTr="00C76BBB"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0A59" w:rsidRPr="000B0D74" w:rsidRDefault="001A0A59" w:rsidP="00C76BB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/>
                <w:sz w:val="20"/>
                <w:szCs w:val="20"/>
                <w:lang w:val="en-GB"/>
              </w:rPr>
              <w:t>Gene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0A59" w:rsidRPr="000B0D74" w:rsidRDefault="001A0A59" w:rsidP="00C76BB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Assay ID 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0A59" w:rsidRPr="000B0D74" w:rsidRDefault="001A0A59" w:rsidP="00C76BB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/>
                <w:sz w:val="20"/>
                <w:szCs w:val="20"/>
                <w:lang w:val="en-GB"/>
              </w:rPr>
              <w:t>EF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sz w:val="20"/>
                <w:szCs w:val="20"/>
                <w:lang w:val="en-GB"/>
              </w:rPr>
              <w:t>HPRT1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bookmarkStart w:id="1" w:name="OLE_LINK12"/>
            <w:r w:rsidRPr="000B0D74">
              <w:rPr>
                <w:rFonts w:ascii="Arial" w:hAnsi="Arial" w:cs="Arial"/>
                <w:sz w:val="20"/>
                <w:szCs w:val="20"/>
                <w:lang w:val="en-US"/>
              </w:rPr>
              <w:t>Hs02800695</w:t>
            </w:r>
            <w:bookmarkEnd w:id="1"/>
            <w:r w:rsidRPr="000B0D74">
              <w:rPr>
                <w:rFonts w:ascii="Arial" w:hAnsi="Arial" w:cs="Arial"/>
                <w:sz w:val="20"/>
                <w:szCs w:val="20"/>
                <w:lang w:val="en-US"/>
              </w:rPr>
              <w:t>_m1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A0A59" w:rsidRPr="000B0D74" w:rsidRDefault="001A0A59" w:rsidP="00C76BB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</w:rPr>
              <w:t>1.97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sz w:val="20"/>
                <w:szCs w:val="20"/>
                <w:lang w:val="en-GB"/>
              </w:rPr>
              <w:t>B-actin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B0D74">
              <w:rPr>
                <w:rFonts w:ascii="Arial" w:hAnsi="Arial" w:cs="Arial"/>
                <w:sz w:val="20"/>
                <w:szCs w:val="20"/>
                <w:lang w:val="en-US"/>
              </w:rPr>
              <w:t>Hs01060665_g1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</w:rPr>
              <w:t>1.96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sz w:val="20"/>
                <w:szCs w:val="20"/>
                <w:lang w:val="en-GB"/>
              </w:rPr>
              <w:t>GUSB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B0D74">
              <w:rPr>
                <w:rFonts w:ascii="Arial" w:hAnsi="Arial" w:cs="Arial"/>
                <w:sz w:val="20"/>
                <w:szCs w:val="20"/>
                <w:lang w:val="en-US"/>
              </w:rPr>
              <w:t>Hs00939627_m1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</w:rPr>
              <w:t>1.95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IFIT1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0D74">
              <w:rPr>
                <w:rFonts w:ascii="Arial" w:hAnsi="Arial" w:cs="Arial"/>
                <w:sz w:val="20"/>
                <w:szCs w:val="20"/>
                <w:lang w:val="en-US"/>
              </w:rPr>
              <w:t>Hs00356631_g1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1.94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sz w:val="20"/>
                <w:szCs w:val="20"/>
                <w:lang w:val="en-GB"/>
              </w:rPr>
              <w:t>OAS1A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0D74">
              <w:rPr>
                <w:rFonts w:ascii="Arial" w:hAnsi="Arial" w:cs="Arial"/>
                <w:sz w:val="20"/>
                <w:szCs w:val="20"/>
                <w:lang w:val="en-US"/>
              </w:rPr>
              <w:t>Hs00973637_m1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Mx1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Hs00895608_m1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sz w:val="20"/>
                <w:szCs w:val="20"/>
                <w:lang w:val="en"/>
              </w:rPr>
              <w:t xml:space="preserve">SLC29A1 </w:t>
            </w:r>
            <w:r w:rsidRPr="000B0D7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(=hENT1)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Hs1085706_m1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</w:rPr>
              <w:t>1.98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sz w:val="20"/>
                <w:szCs w:val="20"/>
                <w:lang w:val="en"/>
              </w:rPr>
              <w:t>SLC28A1</w:t>
            </w:r>
            <w:r w:rsidRPr="000B0D7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(=hCNT1)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Hs00984391_m1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sz w:val="20"/>
                <w:szCs w:val="20"/>
                <w:lang w:val="en"/>
              </w:rPr>
              <w:t>SLC28A3</w:t>
            </w:r>
            <w:r w:rsidRPr="000B0D7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(=hCNT3)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Hs00223220_m1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0B0D7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dCK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Hs01040726_m1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</w:rPr>
              <w:t>1.99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CMPK1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Hs01074420_g1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</w:rPr>
              <w:t>1.97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NME1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Hs00264824_m1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1.95</w:t>
            </w:r>
          </w:p>
        </w:tc>
      </w:tr>
      <w:tr w:rsidR="001A0A59" w:rsidRPr="000B0D74" w:rsidTr="00C76BBB">
        <w:trPr>
          <w:gridAfter w:val="1"/>
          <w:wAfter w:w="283" w:type="dxa"/>
          <w:trHeight w:val="80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CDA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Hs00156401_m1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1.88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NT5E</w:t>
            </w:r>
          </w:p>
        </w:tc>
        <w:tc>
          <w:tcPr>
            <w:tcW w:w="21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Hs00159686_m1</w:t>
            </w:r>
          </w:p>
        </w:tc>
        <w:tc>
          <w:tcPr>
            <w:tcW w:w="426" w:type="dxa"/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1.94</w:t>
            </w:r>
          </w:p>
        </w:tc>
      </w:tr>
      <w:tr w:rsidR="001A0A59" w:rsidRPr="000B0D74" w:rsidTr="00C76BBB">
        <w:trPr>
          <w:gridAfter w:val="1"/>
          <w:wAfter w:w="283" w:type="dxa"/>
        </w:trPr>
        <w:tc>
          <w:tcPr>
            <w:tcW w:w="240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DCTD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Hs01126095_m1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A0A59" w:rsidRPr="000B0D74" w:rsidRDefault="001A0A59" w:rsidP="00C76BBB">
            <w:pPr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D74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</w:tr>
    </w:tbl>
    <w:p w:rsidR="00DC2FC9" w:rsidRDefault="00DC2FC9" w:rsidP="00DC2FC9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DC2FC9" w:rsidRDefault="00DC2FC9" w:rsidP="00DC2FC9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0B0D74">
        <w:rPr>
          <w:rFonts w:ascii="Arial" w:hAnsi="Arial" w:cs="Arial"/>
          <w:b/>
          <w:bCs/>
          <w:sz w:val="20"/>
          <w:szCs w:val="20"/>
          <w:lang w:val="en-GB"/>
        </w:rPr>
        <w:t>Supplementary Table 1. Primers and probes used for real time quantitative PCR.</w:t>
      </w:r>
    </w:p>
    <w:p w:rsidR="00DC2FC9" w:rsidRDefault="00DC2FC9" w:rsidP="00DC2FC9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B0D74">
        <w:rPr>
          <w:rFonts w:ascii="Arial" w:hAnsi="Arial" w:cs="Arial"/>
          <w:bCs/>
          <w:sz w:val="20"/>
          <w:szCs w:val="20"/>
          <w:lang w:val="en-GB"/>
        </w:rPr>
        <w:t xml:space="preserve">All used primers are commercially available </w:t>
      </w:r>
      <w:r w:rsidRPr="000B0D74">
        <w:rPr>
          <w:rFonts w:ascii="Arial" w:hAnsi="Arial" w:cs="Arial"/>
          <w:sz w:val="20"/>
          <w:szCs w:val="20"/>
          <w:shd w:val="clear" w:color="auto" w:fill="FFFFFF"/>
          <w:lang w:val="en-US"/>
        </w:rPr>
        <w:t>(</w:t>
      </w:r>
      <w:proofErr w:type="spellStart"/>
      <w:r w:rsidRPr="000B0D74">
        <w:rPr>
          <w:rFonts w:ascii="Arial" w:hAnsi="Arial" w:cs="Arial"/>
          <w:sz w:val="20"/>
          <w:szCs w:val="20"/>
          <w:shd w:val="clear" w:color="auto" w:fill="FFFFFF"/>
          <w:lang w:val="en-US"/>
        </w:rPr>
        <w:t>Thermo</w:t>
      </w:r>
      <w:proofErr w:type="spellEnd"/>
      <w:r w:rsidRPr="000B0D74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 Fisher Scientific, Breda, the Netherlands</w:t>
      </w:r>
      <w:r w:rsidRPr="000B0D74">
        <w:rPr>
          <w:rFonts w:ascii="Arial" w:hAnsi="Arial" w:cs="Arial"/>
          <w:sz w:val="20"/>
          <w:szCs w:val="20"/>
          <w:lang w:val="en-GB"/>
        </w:rPr>
        <w:t>)</w:t>
      </w:r>
      <w:r w:rsidRPr="000B0D74">
        <w:rPr>
          <w:rFonts w:ascii="Arial" w:hAnsi="Arial" w:cs="Arial"/>
          <w:bCs/>
          <w:sz w:val="20"/>
          <w:szCs w:val="20"/>
          <w:lang w:val="en-GB"/>
        </w:rPr>
        <w:t xml:space="preserve">. </w:t>
      </w:r>
      <w:r w:rsidRPr="000B0D74">
        <w:rPr>
          <w:rFonts w:ascii="Arial" w:hAnsi="Arial" w:cs="Arial"/>
          <w:sz w:val="20"/>
          <w:szCs w:val="20"/>
          <w:lang w:val="en-GB"/>
        </w:rPr>
        <w:t>β</w:t>
      </w:r>
      <w:r w:rsidRPr="000B0D74">
        <w:rPr>
          <w:rFonts w:ascii="Arial" w:hAnsi="Arial" w:cs="Arial"/>
          <w:sz w:val="20"/>
          <w:szCs w:val="20"/>
          <w:lang w:val="en-US"/>
        </w:rPr>
        <w:t xml:space="preserve">-actin, Beta-actin; </w:t>
      </w:r>
      <w:r w:rsidRPr="000B0D74">
        <w:rPr>
          <w:rFonts w:ascii="Arial" w:hAnsi="Arial" w:cs="Arial"/>
          <w:iCs/>
          <w:sz w:val="20"/>
          <w:szCs w:val="20"/>
          <w:lang w:val="en-GB"/>
        </w:rPr>
        <w:t xml:space="preserve">CDA, </w:t>
      </w:r>
      <w:r w:rsidRPr="000B0D74">
        <w:rPr>
          <w:rFonts w:ascii="Arial" w:hAnsi="Arial" w:cs="Arial"/>
          <w:sz w:val="20"/>
          <w:szCs w:val="20"/>
          <w:lang w:val="en-GB"/>
        </w:rPr>
        <w:t>cytidine deaminase</w:t>
      </w:r>
      <w:r w:rsidRPr="000B0D74">
        <w:rPr>
          <w:rFonts w:ascii="Arial" w:hAnsi="Arial" w:cs="Arial"/>
          <w:iCs/>
          <w:sz w:val="20"/>
          <w:szCs w:val="20"/>
          <w:lang w:val="en-GB"/>
        </w:rPr>
        <w:t>; CMPK1,</w:t>
      </w:r>
      <w:r w:rsidRPr="000B0D74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 </w:t>
      </w:r>
      <w:r w:rsidRPr="000B0D74">
        <w:rPr>
          <w:rFonts w:ascii="Arial" w:hAnsi="Arial" w:cs="Arial"/>
          <w:sz w:val="20"/>
          <w:szCs w:val="20"/>
          <w:lang w:val="en-GB"/>
        </w:rPr>
        <w:t>cytidine monophosphate kinase 1;</w:t>
      </w:r>
      <w:r w:rsidRPr="000B0D74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 </w:t>
      </w:r>
      <w:proofErr w:type="spellStart"/>
      <w:r w:rsidRPr="000B0D74">
        <w:rPr>
          <w:rFonts w:ascii="Arial" w:hAnsi="Arial" w:cs="Arial"/>
          <w:iCs/>
          <w:sz w:val="20"/>
          <w:szCs w:val="20"/>
          <w:lang w:val="en-GB"/>
        </w:rPr>
        <w:t>dCK</w:t>
      </w:r>
      <w:proofErr w:type="spellEnd"/>
      <w:r w:rsidRPr="000B0D74">
        <w:rPr>
          <w:rFonts w:ascii="Arial" w:hAnsi="Arial" w:cs="Arial"/>
          <w:iCs/>
          <w:sz w:val="20"/>
          <w:szCs w:val="20"/>
          <w:lang w:val="en-GB"/>
        </w:rPr>
        <w:t>,</w:t>
      </w:r>
      <w:r w:rsidRPr="000B0D74">
        <w:rPr>
          <w:rFonts w:ascii="Arial" w:hAnsi="Arial" w:cs="Arial"/>
          <w:sz w:val="20"/>
          <w:szCs w:val="20"/>
          <w:lang w:val="en-GB"/>
        </w:rPr>
        <w:t xml:space="preserve"> deoxycytidine kinase;</w:t>
      </w:r>
      <w:r w:rsidRPr="000B0D74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 </w:t>
      </w:r>
      <w:r w:rsidRPr="000B0D74">
        <w:rPr>
          <w:rFonts w:ascii="Arial" w:hAnsi="Arial" w:cs="Arial"/>
          <w:iCs/>
          <w:sz w:val="20"/>
          <w:szCs w:val="20"/>
          <w:lang w:val="en-GB"/>
        </w:rPr>
        <w:t>DCTD,</w:t>
      </w:r>
      <w:r w:rsidRPr="000B0D7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B0D74">
        <w:rPr>
          <w:rFonts w:ascii="Arial" w:hAnsi="Arial" w:cs="Arial"/>
          <w:sz w:val="20"/>
          <w:szCs w:val="20"/>
          <w:lang w:val="en-GB"/>
        </w:rPr>
        <w:t>deoxycytidylate</w:t>
      </w:r>
      <w:proofErr w:type="spellEnd"/>
      <w:r w:rsidRPr="000B0D74">
        <w:rPr>
          <w:rFonts w:ascii="Arial" w:hAnsi="Arial" w:cs="Arial"/>
          <w:sz w:val="20"/>
          <w:szCs w:val="20"/>
          <w:lang w:val="en-GB"/>
        </w:rPr>
        <w:t xml:space="preserve"> deaminase;</w:t>
      </w:r>
      <w:r w:rsidRPr="000B0D74">
        <w:rPr>
          <w:rFonts w:ascii="Arial" w:hAnsi="Arial" w:cs="Arial"/>
          <w:sz w:val="20"/>
          <w:szCs w:val="20"/>
          <w:lang w:val="en-US"/>
        </w:rPr>
        <w:t xml:space="preserve"> EF, efficiency factor; GUSB, </w:t>
      </w:r>
      <w:proofErr w:type="spellStart"/>
      <w:r w:rsidRPr="000B0D74">
        <w:rPr>
          <w:rFonts w:ascii="Arial" w:hAnsi="Arial" w:cs="Arial"/>
          <w:sz w:val="20"/>
          <w:szCs w:val="20"/>
          <w:lang w:val="en-US"/>
        </w:rPr>
        <w:t>glucuronidase</w:t>
      </w:r>
      <w:proofErr w:type="spellEnd"/>
      <w:r w:rsidRPr="000B0D74">
        <w:rPr>
          <w:rFonts w:ascii="Arial" w:hAnsi="Arial" w:cs="Arial"/>
          <w:sz w:val="20"/>
          <w:szCs w:val="20"/>
          <w:lang w:val="en-US"/>
        </w:rPr>
        <w:t xml:space="preserve"> beta; </w:t>
      </w:r>
      <w:r w:rsidRPr="000B0D74">
        <w:rPr>
          <w:rFonts w:ascii="Arial" w:hAnsi="Arial" w:cs="Arial"/>
          <w:iCs/>
          <w:sz w:val="20"/>
          <w:szCs w:val="20"/>
          <w:lang w:val="en-GB"/>
        </w:rPr>
        <w:t>hCNT1,</w:t>
      </w:r>
      <w:r w:rsidRPr="000B0D74">
        <w:rPr>
          <w:rFonts w:ascii="Arial" w:hAnsi="Arial" w:cs="Arial"/>
          <w:sz w:val="20"/>
          <w:szCs w:val="20"/>
          <w:lang w:val="en-GB"/>
        </w:rPr>
        <w:t xml:space="preserve"> human concentrative nucleoside transporters 1</w:t>
      </w:r>
      <w:r w:rsidRPr="000B0D74">
        <w:rPr>
          <w:rFonts w:ascii="Arial" w:hAnsi="Arial" w:cs="Arial"/>
          <w:iCs/>
          <w:sz w:val="20"/>
          <w:szCs w:val="20"/>
          <w:lang w:val="en-GB"/>
        </w:rPr>
        <w:t>; hCNT3,</w:t>
      </w:r>
      <w:r w:rsidRPr="000B0D74">
        <w:rPr>
          <w:rFonts w:ascii="Arial" w:hAnsi="Arial" w:cs="Arial"/>
          <w:sz w:val="20"/>
          <w:szCs w:val="20"/>
          <w:lang w:val="en-GB"/>
        </w:rPr>
        <w:t xml:space="preserve"> human concentrative nucleoside transporters 3</w:t>
      </w:r>
      <w:r w:rsidRPr="000B0D74">
        <w:rPr>
          <w:rFonts w:ascii="Arial" w:hAnsi="Arial" w:cs="Arial"/>
          <w:iCs/>
          <w:sz w:val="20"/>
          <w:szCs w:val="20"/>
          <w:lang w:val="en-GB"/>
        </w:rPr>
        <w:t>; hENT1,</w:t>
      </w:r>
      <w:r w:rsidRPr="000B0D74">
        <w:rPr>
          <w:rFonts w:ascii="Arial" w:hAnsi="Arial" w:cs="Arial"/>
          <w:sz w:val="20"/>
          <w:szCs w:val="20"/>
          <w:lang w:val="en-GB"/>
        </w:rPr>
        <w:t xml:space="preserve"> human </w:t>
      </w:r>
      <w:proofErr w:type="spellStart"/>
      <w:r w:rsidRPr="000B0D74">
        <w:rPr>
          <w:rFonts w:ascii="Arial" w:hAnsi="Arial" w:cs="Arial"/>
          <w:sz w:val="20"/>
          <w:szCs w:val="20"/>
          <w:lang w:val="en-GB"/>
        </w:rPr>
        <w:t>equilibrative</w:t>
      </w:r>
      <w:proofErr w:type="spellEnd"/>
      <w:r w:rsidRPr="000B0D74">
        <w:rPr>
          <w:rFonts w:ascii="Arial" w:hAnsi="Arial" w:cs="Arial"/>
          <w:sz w:val="20"/>
          <w:szCs w:val="20"/>
          <w:lang w:val="en-GB"/>
        </w:rPr>
        <w:t xml:space="preserve"> nucleoside transporter 1; </w:t>
      </w:r>
      <w:r w:rsidRPr="000B0D74">
        <w:rPr>
          <w:rFonts w:ascii="Arial" w:hAnsi="Arial" w:cs="Arial"/>
          <w:sz w:val="20"/>
          <w:szCs w:val="20"/>
          <w:lang w:val="en-US"/>
        </w:rPr>
        <w:t>HPRT1, 7 hypoxanthine-guanine phosphoribosyl transferase 1;</w:t>
      </w:r>
      <w:r w:rsidRPr="000B0D74">
        <w:rPr>
          <w:rFonts w:ascii="Arial" w:hAnsi="Arial" w:cs="Arial"/>
          <w:iCs/>
          <w:sz w:val="20"/>
          <w:szCs w:val="20"/>
          <w:lang w:val="en-GB"/>
        </w:rPr>
        <w:t xml:space="preserve"> IFIT1, interferon induced protein with </w:t>
      </w:r>
      <w:proofErr w:type="spellStart"/>
      <w:r w:rsidRPr="000B0D74">
        <w:rPr>
          <w:rFonts w:ascii="Arial" w:hAnsi="Arial" w:cs="Arial"/>
          <w:iCs/>
          <w:sz w:val="20"/>
          <w:szCs w:val="20"/>
          <w:lang w:val="en-GB"/>
        </w:rPr>
        <w:t>tetratricopeptide</w:t>
      </w:r>
      <w:proofErr w:type="spellEnd"/>
      <w:r w:rsidRPr="000B0D74">
        <w:rPr>
          <w:rFonts w:ascii="Arial" w:hAnsi="Arial" w:cs="Arial"/>
          <w:iCs/>
          <w:sz w:val="20"/>
          <w:szCs w:val="20"/>
          <w:lang w:val="en-GB"/>
        </w:rPr>
        <w:t xml:space="preserve"> repeats 1;</w:t>
      </w:r>
      <w:r w:rsidRPr="000B0D74">
        <w:rPr>
          <w:rFonts w:ascii="Arial" w:hAnsi="Arial" w:cs="Arial"/>
          <w:sz w:val="20"/>
          <w:szCs w:val="20"/>
          <w:lang w:val="en-US"/>
        </w:rPr>
        <w:t xml:space="preserve"> </w:t>
      </w:r>
      <w:r w:rsidRPr="000B0D74">
        <w:rPr>
          <w:rFonts w:ascii="Arial" w:hAnsi="Arial" w:cs="Arial"/>
          <w:iCs/>
          <w:sz w:val="20"/>
          <w:szCs w:val="20"/>
          <w:lang w:val="en-GB"/>
        </w:rPr>
        <w:t xml:space="preserve">Mx1, MX dynamin like </w:t>
      </w:r>
      <w:proofErr w:type="spellStart"/>
      <w:r w:rsidRPr="000B0D74">
        <w:rPr>
          <w:rFonts w:ascii="Arial" w:hAnsi="Arial" w:cs="Arial"/>
          <w:iCs/>
          <w:sz w:val="20"/>
          <w:szCs w:val="20"/>
          <w:lang w:val="en-GB"/>
        </w:rPr>
        <w:t>GTPase</w:t>
      </w:r>
      <w:proofErr w:type="spellEnd"/>
      <w:r w:rsidRPr="000B0D74">
        <w:rPr>
          <w:rFonts w:ascii="Arial" w:hAnsi="Arial" w:cs="Arial"/>
          <w:iCs/>
          <w:sz w:val="20"/>
          <w:szCs w:val="20"/>
          <w:lang w:val="en-GB"/>
        </w:rPr>
        <w:t xml:space="preserve"> 1; NME1,</w:t>
      </w:r>
      <w:r w:rsidRPr="000B0D74">
        <w:rPr>
          <w:rFonts w:ascii="Arial" w:hAnsi="Arial" w:cs="Arial"/>
          <w:sz w:val="20"/>
          <w:szCs w:val="20"/>
          <w:lang w:val="en-GB"/>
        </w:rPr>
        <w:t xml:space="preserve"> nucleoside diphosphate kinase A;</w:t>
      </w:r>
      <w:r w:rsidRPr="000B0D74">
        <w:rPr>
          <w:rFonts w:ascii="Arial" w:hAnsi="Arial" w:cs="Arial"/>
          <w:iCs/>
          <w:sz w:val="20"/>
          <w:szCs w:val="20"/>
          <w:lang w:val="en-GB"/>
        </w:rPr>
        <w:t xml:space="preserve"> NT5E, </w:t>
      </w:r>
      <w:r w:rsidRPr="000B0D74">
        <w:rPr>
          <w:rFonts w:ascii="Arial" w:hAnsi="Arial" w:cs="Arial"/>
          <w:sz w:val="20"/>
          <w:szCs w:val="20"/>
          <w:lang w:val="en-GB"/>
        </w:rPr>
        <w:t>5’-nucleotidases</w:t>
      </w:r>
      <w:r w:rsidRPr="000B0D74">
        <w:rPr>
          <w:rFonts w:ascii="Arial" w:hAnsi="Arial" w:cs="Arial"/>
          <w:iCs/>
          <w:sz w:val="20"/>
          <w:szCs w:val="20"/>
          <w:lang w:val="en-GB"/>
        </w:rPr>
        <w:t>;</w:t>
      </w:r>
      <w:r w:rsidRPr="000B0D74">
        <w:rPr>
          <w:rFonts w:ascii="Arial" w:hAnsi="Arial" w:cs="Arial"/>
          <w:sz w:val="20"/>
          <w:szCs w:val="20"/>
          <w:lang w:val="en-GB"/>
        </w:rPr>
        <w:t xml:space="preserve"> OAS1A, 2′-5′ </w:t>
      </w:r>
      <w:proofErr w:type="spellStart"/>
      <w:r w:rsidRPr="000B0D74">
        <w:rPr>
          <w:rFonts w:ascii="Arial" w:hAnsi="Arial" w:cs="Arial"/>
          <w:sz w:val="20"/>
          <w:szCs w:val="20"/>
          <w:lang w:val="en-GB"/>
        </w:rPr>
        <w:t>oligoadenylate</w:t>
      </w:r>
      <w:proofErr w:type="spellEnd"/>
      <w:r w:rsidRPr="000B0D7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B0D74">
        <w:rPr>
          <w:rFonts w:ascii="Arial" w:hAnsi="Arial" w:cs="Arial"/>
          <w:sz w:val="20"/>
          <w:szCs w:val="20"/>
          <w:lang w:val="en-GB"/>
        </w:rPr>
        <w:t>synthetase</w:t>
      </w:r>
      <w:proofErr w:type="spellEnd"/>
      <w:r w:rsidRPr="000B0D74">
        <w:rPr>
          <w:rFonts w:ascii="Arial" w:hAnsi="Arial" w:cs="Arial"/>
          <w:sz w:val="20"/>
          <w:szCs w:val="20"/>
          <w:lang w:val="en-GB"/>
        </w:rPr>
        <w:t xml:space="preserve"> 1a; SLC28A1, solute carrier family 28 member 1; SLC28A3,</w:t>
      </w:r>
      <w:r w:rsidRPr="000B0D74">
        <w:rPr>
          <w:rFonts w:ascii="Arial" w:hAnsi="Arial" w:cs="Arial"/>
          <w:sz w:val="20"/>
          <w:szCs w:val="20"/>
          <w:lang w:val="en-US"/>
        </w:rPr>
        <w:t xml:space="preserve"> </w:t>
      </w:r>
      <w:r w:rsidRPr="000B0D74">
        <w:rPr>
          <w:rFonts w:ascii="Arial" w:hAnsi="Arial" w:cs="Arial"/>
          <w:sz w:val="20"/>
          <w:szCs w:val="20"/>
          <w:lang w:val="en-GB"/>
        </w:rPr>
        <w:t>solute carrier family 28 member 3; SLC29A1, solute carrier family 29 member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:rsidR="00BC298E" w:rsidRPr="001A0A59" w:rsidRDefault="009756ED">
      <w:pPr>
        <w:rPr>
          <w:lang w:val="en-GB"/>
        </w:rPr>
      </w:pPr>
    </w:p>
    <w:sectPr w:rsidR="00BC298E" w:rsidRPr="001A0A59" w:rsidSect="001A0A59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59"/>
    <w:rsid w:val="001A0A59"/>
    <w:rsid w:val="00534750"/>
    <w:rsid w:val="006548FF"/>
    <w:rsid w:val="009756ED"/>
    <w:rsid w:val="00DC2FC9"/>
    <w:rsid w:val="00FA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04823-D91A-49CA-87B5-5C20BBCE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A0A59"/>
    <w:pPr>
      <w:spacing w:after="0" w:line="240" w:lineRule="auto"/>
    </w:pPr>
    <w:rPr>
      <w:rFonts w:eastAsiaTheme="minorEastAsia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1A0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A631A-108F-47DF-9198-8068A621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555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Blaauboer</dc:creator>
  <cp:keywords/>
  <dc:description/>
  <cp:lastModifiedBy>A. Blaauboer</cp:lastModifiedBy>
  <cp:revision>4</cp:revision>
  <dcterms:created xsi:type="dcterms:W3CDTF">2020-06-30T19:28:00Z</dcterms:created>
  <dcterms:modified xsi:type="dcterms:W3CDTF">2020-08-07T19:41:00Z</dcterms:modified>
</cp:coreProperties>
</file>