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C55" w:rsidRPr="000A5C55" w:rsidRDefault="000A5C55" w:rsidP="000A5C55">
      <w:pPr>
        <w:tabs>
          <w:tab w:val="left" w:pos="0"/>
        </w:tabs>
        <w:spacing w:after="0" w:line="360" w:lineRule="auto"/>
        <w:ind w:right="-158"/>
        <w:jc w:val="both"/>
        <w:rPr>
          <w:rFonts w:ascii="Times New Roman" w:hAnsi="Times New Roman"/>
          <w:b/>
          <w:sz w:val="24"/>
          <w:szCs w:val="24"/>
        </w:rPr>
      </w:pPr>
      <w:r w:rsidRPr="000A5C55">
        <w:rPr>
          <w:rFonts w:ascii="Times New Roman" w:hAnsi="Times New Roman"/>
          <w:b/>
          <w:sz w:val="24"/>
          <w:szCs w:val="24"/>
        </w:rPr>
        <w:t>Supplementary Table S4</w:t>
      </w:r>
      <w:bookmarkStart w:id="0" w:name="_GoBack"/>
      <w:bookmarkEnd w:id="0"/>
    </w:p>
    <w:p w:rsidR="000A5C55" w:rsidRPr="000A5C55" w:rsidRDefault="000A5C55" w:rsidP="000A5C55">
      <w:pPr>
        <w:tabs>
          <w:tab w:val="left" w:pos="0"/>
        </w:tabs>
        <w:spacing w:after="0" w:line="360" w:lineRule="auto"/>
        <w:ind w:right="-158"/>
        <w:jc w:val="both"/>
        <w:rPr>
          <w:rFonts w:ascii="Times New Roman" w:hAnsi="Times New Roman"/>
          <w:sz w:val="24"/>
          <w:szCs w:val="24"/>
        </w:rPr>
      </w:pPr>
    </w:p>
    <w:p w:rsidR="000A5C55" w:rsidRPr="000A5C55" w:rsidRDefault="000A5C55" w:rsidP="000A5C55">
      <w:pPr>
        <w:tabs>
          <w:tab w:val="left" w:pos="0"/>
        </w:tabs>
        <w:spacing w:after="0" w:line="360" w:lineRule="auto"/>
        <w:ind w:right="-158"/>
        <w:jc w:val="both"/>
        <w:rPr>
          <w:rFonts w:ascii="Times New Roman" w:hAnsi="Times New Roman"/>
          <w:sz w:val="24"/>
          <w:szCs w:val="24"/>
        </w:rPr>
      </w:pPr>
      <w:r w:rsidRPr="000A5C55">
        <w:rPr>
          <w:rFonts w:ascii="Times New Roman" w:hAnsi="Times New Roman"/>
          <w:b/>
          <w:sz w:val="24"/>
          <w:szCs w:val="24"/>
        </w:rPr>
        <w:t>Expression of ANXA1 in control and GBC tissue using IHC analysis.</w:t>
      </w:r>
      <w:r w:rsidRPr="000A5C55">
        <w:rPr>
          <w:rFonts w:ascii="Times New Roman" w:hAnsi="Times New Roman"/>
          <w:sz w:val="24"/>
          <w:szCs w:val="24"/>
        </w:rPr>
        <w:t xml:space="preserve"> IHC was performed on formalin-fixed paraffin-embedded (FFPE) </w:t>
      </w:r>
      <w:r w:rsidRPr="000A5C55">
        <w:rPr>
          <w:rFonts w:ascii="TimesNewRomanPSMT" w:hAnsi="TimesNewRomanPSMT"/>
          <w:sz w:val="24"/>
          <w:szCs w:val="24"/>
        </w:rPr>
        <w:t xml:space="preserve">tissue microarrays (TMAs) and individual tissue sections. Two in-house TMA blocks were constructed using the FFPE blocks and included 14 controls (2 healthy liver donors and 12 GSD cases) and 31 GBC cases (9 early stage and 22 advanced stage). Each TMA block consisted of 22 cores of 2 mm diameter and 4 </w:t>
      </w:r>
      <w:r w:rsidRPr="000A5C55">
        <w:rPr>
          <w:rFonts w:ascii="Times New Roman" w:hAnsi="Times New Roman"/>
          <w:sz w:val="24"/>
          <w:szCs w:val="24"/>
        </w:rPr>
        <w:t>µ</w:t>
      </w:r>
      <w:r w:rsidRPr="000A5C55">
        <w:rPr>
          <w:rFonts w:ascii="TimesNewRomanPSMT" w:hAnsi="TimesNewRomanPSMT"/>
          <w:sz w:val="24"/>
          <w:szCs w:val="24"/>
        </w:rPr>
        <w:t xml:space="preserve">m sections were cut from the TMA block for carrying out IHC. Individual tissue sections (FFPE) of GBC (7 early stage and 5 advanced stage) were also for IHC analysis. </w:t>
      </w:r>
      <w:r w:rsidRPr="000A5C55">
        <w:rPr>
          <w:rFonts w:ascii="Times New Roman" w:hAnsi="Times New Roman"/>
          <w:sz w:val="24"/>
          <w:szCs w:val="24"/>
        </w:rPr>
        <w:t>The staining intensity of cancer cells were scored as 0, 1+, 2+/ 3+ indicating negative, low, and strong staining, respectively. All the cases showed 2+/ 3+ staining intensity. The distribution of staining of cancer cells was scored as 0 (less than 10% of cells staining), 1+ (10-&lt;25% of cell staining), 2+ (25-&lt;50% of cells staining) and 3+ (≥50% of cells staining). ANXA1 expression was considered ‘high’ if percentage distribution was ≥25% and ‘low’ if it was &lt;25%. IHC data analysis was done by two independent pathologists.</w:t>
      </w:r>
    </w:p>
    <w:p w:rsidR="000A5C55" w:rsidRPr="000A5C55" w:rsidRDefault="000A5C55" w:rsidP="000A5C55">
      <w:pPr>
        <w:tabs>
          <w:tab w:val="left" w:pos="0"/>
        </w:tabs>
        <w:spacing w:after="0" w:line="360" w:lineRule="auto"/>
        <w:ind w:right="-158"/>
        <w:jc w:val="both"/>
        <w:rPr>
          <w:rFonts w:ascii="Times New Roman" w:hAnsi="Times New Roman"/>
          <w:sz w:val="24"/>
          <w:szCs w:val="24"/>
        </w:rPr>
      </w:pPr>
    </w:p>
    <w:tbl>
      <w:tblPr>
        <w:tblW w:w="7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1083"/>
        <w:gridCol w:w="2247"/>
        <w:gridCol w:w="2050"/>
      </w:tblGrid>
      <w:tr w:rsidR="000A5C55" w:rsidRPr="000A5C55" w:rsidTr="000A5C55">
        <w:trPr>
          <w:trHeight w:val="486"/>
          <w:jc w:val="center"/>
        </w:trPr>
        <w:tc>
          <w:tcPr>
            <w:tcW w:w="2501" w:type="dxa"/>
            <w:vMerge w:val="restart"/>
            <w:shd w:val="clear" w:color="auto" w:fill="auto"/>
            <w:vAlign w:val="center"/>
            <w:hideMark/>
          </w:tcPr>
          <w:p w:rsidR="000A5C55" w:rsidRPr="000A5C55" w:rsidRDefault="000A5C55" w:rsidP="001858CA">
            <w:pPr>
              <w:tabs>
                <w:tab w:val="left" w:pos="0"/>
              </w:tabs>
              <w:spacing w:after="0"/>
              <w:jc w:val="center"/>
              <w:rPr>
                <w:rFonts w:ascii="Times New Roman" w:hAnsi="Times New Roman"/>
                <w:sz w:val="24"/>
                <w:szCs w:val="24"/>
              </w:rPr>
            </w:pPr>
            <w:r w:rsidRPr="000A5C55">
              <w:rPr>
                <w:rFonts w:ascii="Times New Roman" w:hAnsi="Times New Roman"/>
                <w:sz w:val="24"/>
                <w:szCs w:val="24"/>
              </w:rPr>
              <w:t>Group</w:t>
            </w:r>
          </w:p>
        </w:tc>
        <w:tc>
          <w:tcPr>
            <w:tcW w:w="1083" w:type="dxa"/>
            <w:vMerge w:val="restart"/>
          </w:tcPr>
          <w:p w:rsidR="000A5C55" w:rsidRPr="000A5C55" w:rsidRDefault="000A5C55" w:rsidP="001858CA">
            <w:pPr>
              <w:tabs>
                <w:tab w:val="left" w:pos="0"/>
                <w:tab w:val="left" w:pos="743"/>
              </w:tabs>
              <w:spacing w:after="0"/>
              <w:jc w:val="center"/>
              <w:rPr>
                <w:rFonts w:ascii="Times New Roman" w:hAnsi="Times New Roman"/>
                <w:sz w:val="24"/>
                <w:szCs w:val="24"/>
              </w:rPr>
            </w:pPr>
            <w:r w:rsidRPr="000A5C55">
              <w:rPr>
                <w:rFonts w:ascii="Times New Roman" w:hAnsi="Times New Roman"/>
                <w:sz w:val="24"/>
                <w:szCs w:val="24"/>
              </w:rPr>
              <w:t>Total samples</w:t>
            </w:r>
          </w:p>
        </w:tc>
        <w:tc>
          <w:tcPr>
            <w:tcW w:w="4297" w:type="dxa"/>
            <w:gridSpan w:val="2"/>
          </w:tcPr>
          <w:p w:rsidR="000A5C55" w:rsidRPr="000A5C55" w:rsidRDefault="000A5C55" w:rsidP="001858CA">
            <w:pPr>
              <w:tabs>
                <w:tab w:val="left" w:pos="0"/>
              </w:tabs>
              <w:spacing w:after="0"/>
              <w:jc w:val="center"/>
              <w:rPr>
                <w:rFonts w:ascii="Times New Roman" w:hAnsi="Times New Roman"/>
                <w:sz w:val="24"/>
                <w:szCs w:val="24"/>
              </w:rPr>
            </w:pPr>
            <w:r w:rsidRPr="000A5C55">
              <w:rPr>
                <w:rFonts w:ascii="Times New Roman" w:hAnsi="Times New Roman"/>
                <w:sz w:val="24"/>
                <w:szCs w:val="24"/>
              </w:rPr>
              <w:t>ANXA1 expression (No. of cases/ %)</w:t>
            </w:r>
          </w:p>
        </w:tc>
      </w:tr>
      <w:tr w:rsidR="000A5C55" w:rsidRPr="000A5C55" w:rsidTr="000A5C55">
        <w:trPr>
          <w:trHeight w:val="359"/>
          <w:jc w:val="center"/>
        </w:trPr>
        <w:tc>
          <w:tcPr>
            <w:tcW w:w="2501" w:type="dxa"/>
            <w:vMerge/>
            <w:shd w:val="clear" w:color="auto" w:fill="auto"/>
            <w:vAlign w:val="center"/>
          </w:tcPr>
          <w:p w:rsidR="000A5C55" w:rsidRPr="000A5C55" w:rsidRDefault="000A5C55" w:rsidP="001858CA">
            <w:pPr>
              <w:tabs>
                <w:tab w:val="left" w:pos="0"/>
              </w:tabs>
              <w:spacing w:after="0" w:line="360" w:lineRule="auto"/>
              <w:jc w:val="center"/>
              <w:rPr>
                <w:rFonts w:ascii="Times New Roman" w:hAnsi="Times New Roman"/>
                <w:sz w:val="24"/>
                <w:szCs w:val="24"/>
              </w:rPr>
            </w:pPr>
          </w:p>
        </w:tc>
        <w:tc>
          <w:tcPr>
            <w:tcW w:w="1083" w:type="dxa"/>
            <w:vMerge/>
          </w:tcPr>
          <w:p w:rsidR="000A5C55" w:rsidRPr="000A5C55" w:rsidRDefault="000A5C55" w:rsidP="001858CA">
            <w:pPr>
              <w:tabs>
                <w:tab w:val="left" w:pos="0"/>
                <w:tab w:val="left" w:pos="743"/>
              </w:tabs>
              <w:spacing w:after="0" w:line="360" w:lineRule="auto"/>
              <w:jc w:val="center"/>
              <w:rPr>
                <w:rFonts w:ascii="Times New Roman" w:hAnsi="Times New Roman"/>
                <w:sz w:val="24"/>
                <w:szCs w:val="24"/>
              </w:rPr>
            </w:pPr>
          </w:p>
        </w:tc>
        <w:tc>
          <w:tcPr>
            <w:tcW w:w="2247" w:type="dxa"/>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‘Low’</w:t>
            </w:r>
          </w:p>
        </w:tc>
        <w:tc>
          <w:tcPr>
            <w:tcW w:w="2050" w:type="dxa"/>
            <w:shd w:val="clear" w:color="auto" w:fill="auto"/>
            <w:vAlign w:val="center"/>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‘High’</w:t>
            </w:r>
          </w:p>
        </w:tc>
      </w:tr>
      <w:tr w:rsidR="000A5C55" w:rsidRPr="000A5C55" w:rsidTr="000A5C55">
        <w:trPr>
          <w:trHeight w:val="359"/>
          <w:jc w:val="center"/>
        </w:trPr>
        <w:tc>
          <w:tcPr>
            <w:tcW w:w="2501" w:type="dxa"/>
            <w:shd w:val="clear" w:color="auto" w:fill="auto"/>
            <w:vAlign w:val="center"/>
          </w:tcPr>
          <w:p w:rsidR="000A5C55" w:rsidRPr="000A5C55" w:rsidRDefault="000A5C55" w:rsidP="001858CA">
            <w:pPr>
              <w:tabs>
                <w:tab w:val="left" w:pos="0"/>
              </w:tabs>
              <w:spacing w:after="0"/>
              <w:rPr>
                <w:rFonts w:ascii="Times New Roman" w:hAnsi="Times New Roman"/>
                <w:sz w:val="24"/>
                <w:szCs w:val="24"/>
              </w:rPr>
            </w:pPr>
            <w:r w:rsidRPr="000A5C55">
              <w:rPr>
                <w:rFonts w:ascii="Times New Roman" w:hAnsi="Times New Roman"/>
                <w:sz w:val="24"/>
                <w:szCs w:val="24"/>
              </w:rPr>
              <w:t xml:space="preserve">Healthy liver donor </w:t>
            </w:r>
          </w:p>
        </w:tc>
        <w:tc>
          <w:tcPr>
            <w:tcW w:w="1083" w:type="dxa"/>
          </w:tcPr>
          <w:p w:rsidR="000A5C55" w:rsidRPr="000A5C55" w:rsidRDefault="000A5C55" w:rsidP="001858CA">
            <w:pPr>
              <w:tabs>
                <w:tab w:val="left" w:pos="0"/>
                <w:tab w:val="left" w:pos="743"/>
              </w:tabs>
              <w:spacing w:after="0"/>
              <w:rPr>
                <w:rFonts w:ascii="Times New Roman" w:hAnsi="Times New Roman"/>
                <w:sz w:val="24"/>
                <w:szCs w:val="24"/>
              </w:rPr>
            </w:pPr>
            <w:r w:rsidRPr="000A5C55">
              <w:rPr>
                <w:rFonts w:ascii="Times New Roman" w:hAnsi="Times New Roman"/>
                <w:sz w:val="24"/>
                <w:szCs w:val="24"/>
              </w:rPr>
              <w:t xml:space="preserve">      2</w:t>
            </w:r>
          </w:p>
        </w:tc>
        <w:tc>
          <w:tcPr>
            <w:tcW w:w="2247" w:type="dxa"/>
          </w:tcPr>
          <w:p w:rsidR="000A5C55" w:rsidRPr="000A5C55" w:rsidRDefault="000A5C55" w:rsidP="001858CA">
            <w:pPr>
              <w:tabs>
                <w:tab w:val="left" w:pos="0"/>
              </w:tabs>
              <w:spacing w:after="0"/>
              <w:jc w:val="center"/>
              <w:rPr>
                <w:rFonts w:ascii="Times New Roman" w:hAnsi="Times New Roman"/>
                <w:sz w:val="24"/>
                <w:szCs w:val="24"/>
              </w:rPr>
            </w:pPr>
            <w:r w:rsidRPr="000A5C55">
              <w:rPr>
                <w:rFonts w:ascii="Times New Roman" w:hAnsi="Times New Roman"/>
                <w:sz w:val="24"/>
                <w:szCs w:val="24"/>
              </w:rPr>
              <w:t>2/ 100%</w:t>
            </w:r>
          </w:p>
        </w:tc>
        <w:tc>
          <w:tcPr>
            <w:tcW w:w="2050" w:type="dxa"/>
            <w:shd w:val="clear" w:color="auto" w:fill="auto"/>
            <w:vAlign w:val="center"/>
          </w:tcPr>
          <w:p w:rsidR="000A5C55" w:rsidRPr="000A5C55" w:rsidRDefault="000A5C55" w:rsidP="001858CA">
            <w:pPr>
              <w:tabs>
                <w:tab w:val="left" w:pos="0"/>
              </w:tabs>
              <w:spacing w:after="0"/>
              <w:jc w:val="center"/>
              <w:rPr>
                <w:rFonts w:ascii="Times New Roman" w:hAnsi="Times New Roman"/>
                <w:sz w:val="24"/>
                <w:szCs w:val="24"/>
              </w:rPr>
            </w:pPr>
            <w:r w:rsidRPr="000A5C55">
              <w:rPr>
                <w:rFonts w:ascii="Times New Roman" w:hAnsi="Times New Roman"/>
                <w:sz w:val="24"/>
                <w:szCs w:val="24"/>
              </w:rPr>
              <w:t>Nil</w:t>
            </w:r>
          </w:p>
        </w:tc>
      </w:tr>
      <w:tr w:rsidR="000A5C55" w:rsidRPr="000A5C55" w:rsidTr="000A5C55">
        <w:trPr>
          <w:trHeight w:val="268"/>
          <w:jc w:val="center"/>
        </w:trPr>
        <w:tc>
          <w:tcPr>
            <w:tcW w:w="2501" w:type="dxa"/>
            <w:shd w:val="clear" w:color="auto" w:fill="auto"/>
            <w:vAlign w:val="center"/>
            <w:hideMark/>
          </w:tcPr>
          <w:p w:rsidR="000A5C55" w:rsidRPr="000A5C55" w:rsidRDefault="000A5C55" w:rsidP="001858CA">
            <w:pPr>
              <w:tabs>
                <w:tab w:val="left" w:pos="0"/>
              </w:tabs>
              <w:spacing w:after="0" w:line="360" w:lineRule="auto"/>
              <w:rPr>
                <w:rFonts w:ascii="Times New Roman" w:hAnsi="Times New Roman"/>
                <w:sz w:val="24"/>
                <w:szCs w:val="24"/>
              </w:rPr>
            </w:pPr>
            <w:r w:rsidRPr="000A5C55">
              <w:rPr>
                <w:rFonts w:ascii="Times New Roman" w:hAnsi="Times New Roman"/>
                <w:sz w:val="24"/>
                <w:szCs w:val="24"/>
              </w:rPr>
              <w:t>GSD</w:t>
            </w:r>
          </w:p>
        </w:tc>
        <w:tc>
          <w:tcPr>
            <w:tcW w:w="1083" w:type="dxa"/>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12</w:t>
            </w:r>
          </w:p>
        </w:tc>
        <w:tc>
          <w:tcPr>
            <w:tcW w:w="2247" w:type="dxa"/>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12/ 100%</w:t>
            </w:r>
          </w:p>
        </w:tc>
        <w:tc>
          <w:tcPr>
            <w:tcW w:w="2050" w:type="dxa"/>
            <w:shd w:val="clear" w:color="auto" w:fill="auto"/>
            <w:vAlign w:val="center"/>
            <w:hideMark/>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Nil</w:t>
            </w:r>
          </w:p>
        </w:tc>
      </w:tr>
      <w:tr w:rsidR="000A5C55" w:rsidRPr="000A5C55" w:rsidTr="000A5C55">
        <w:trPr>
          <w:trHeight w:val="268"/>
          <w:jc w:val="center"/>
        </w:trPr>
        <w:tc>
          <w:tcPr>
            <w:tcW w:w="2501" w:type="dxa"/>
            <w:shd w:val="clear" w:color="auto" w:fill="auto"/>
            <w:vAlign w:val="center"/>
          </w:tcPr>
          <w:p w:rsidR="000A5C55" w:rsidRPr="000A5C55" w:rsidRDefault="000A5C55" w:rsidP="001858CA">
            <w:pPr>
              <w:tabs>
                <w:tab w:val="left" w:pos="0"/>
              </w:tabs>
              <w:spacing w:after="0" w:line="360" w:lineRule="auto"/>
              <w:rPr>
                <w:rFonts w:ascii="Times New Roman" w:hAnsi="Times New Roman"/>
                <w:sz w:val="24"/>
                <w:szCs w:val="24"/>
              </w:rPr>
            </w:pPr>
            <w:r w:rsidRPr="000A5C55">
              <w:rPr>
                <w:rFonts w:ascii="Times New Roman" w:hAnsi="Times New Roman"/>
                <w:sz w:val="24"/>
                <w:szCs w:val="24"/>
              </w:rPr>
              <w:t>Early stage GBC</w:t>
            </w:r>
          </w:p>
        </w:tc>
        <w:tc>
          <w:tcPr>
            <w:tcW w:w="1083" w:type="dxa"/>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16</w:t>
            </w:r>
          </w:p>
        </w:tc>
        <w:tc>
          <w:tcPr>
            <w:tcW w:w="2247" w:type="dxa"/>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6/ 37.5%</w:t>
            </w:r>
          </w:p>
        </w:tc>
        <w:tc>
          <w:tcPr>
            <w:tcW w:w="2050" w:type="dxa"/>
            <w:shd w:val="clear" w:color="auto" w:fill="auto"/>
            <w:vAlign w:val="center"/>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10/ 62.5%</w:t>
            </w:r>
          </w:p>
        </w:tc>
      </w:tr>
      <w:tr w:rsidR="000A5C55" w:rsidRPr="000A5C55" w:rsidTr="000A5C55">
        <w:trPr>
          <w:trHeight w:val="268"/>
          <w:jc w:val="center"/>
        </w:trPr>
        <w:tc>
          <w:tcPr>
            <w:tcW w:w="2501" w:type="dxa"/>
            <w:shd w:val="clear" w:color="auto" w:fill="auto"/>
            <w:vAlign w:val="center"/>
          </w:tcPr>
          <w:p w:rsidR="000A5C55" w:rsidRPr="000A5C55" w:rsidRDefault="000A5C55" w:rsidP="001858CA">
            <w:pPr>
              <w:tabs>
                <w:tab w:val="left" w:pos="0"/>
              </w:tabs>
              <w:spacing w:after="0" w:line="360" w:lineRule="auto"/>
              <w:rPr>
                <w:rFonts w:ascii="Times New Roman" w:hAnsi="Times New Roman"/>
                <w:sz w:val="24"/>
                <w:szCs w:val="24"/>
              </w:rPr>
            </w:pPr>
            <w:r w:rsidRPr="000A5C55">
              <w:rPr>
                <w:rFonts w:ascii="Times New Roman" w:hAnsi="Times New Roman"/>
                <w:sz w:val="24"/>
                <w:szCs w:val="24"/>
              </w:rPr>
              <w:t>Advanced stage GBC</w:t>
            </w:r>
          </w:p>
        </w:tc>
        <w:tc>
          <w:tcPr>
            <w:tcW w:w="1083" w:type="dxa"/>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27</w:t>
            </w:r>
          </w:p>
        </w:tc>
        <w:tc>
          <w:tcPr>
            <w:tcW w:w="2247" w:type="dxa"/>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6/ 23%</w:t>
            </w:r>
          </w:p>
        </w:tc>
        <w:tc>
          <w:tcPr>
            <w:tcW w:w="2050" w:type="dxa"/>
            <w:shd w:val="clear" w:color="auto" w:fill="auto"/>
            <w:vAlign w:val="center"/>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21/ 77.7%</w:t>
            </w:r>
          </w:p>
        </w:tc>
      </w:tr>
      <w:tr w:rsidR="000A5C55" w:rsidRPr="000A5C55" w:rsidTr="000A5C55">
        <w:trPr>
          <w:trHeight w:val="268"/>
          <w:jc w:val="center"/>
        </w:trPr>
        <w:tc>
          <w:tcPr>
            <w:tcW w:w="2501" w:type="dxa"/>
            <w:shd w:val="clear" w:color="auto" w:fill="auto"/>
            <w:vAlign w:val="center"/>
          </w:tcPr>
          <w:p w:rsidR="000A5C55" w:rsidRPr="000A5C55" w:rsidRDefault="000A5C55" w:rsidP="001858CA">
            <w:pPr>
              <w:tabs>
                <w:tab w:val="left" w:pos="0"/>
              </w:tabs>
              <w:spacing w:after="0" w:line="360" w:lineRule="auto"/>
              <w:rPr>
                <w:rFonts w:ascii="Times New Roman" w:hAnsi="Times New Roman"/>
                <w:sz w:val="24"/>
                <w:szCs w:val="24"/>
              </w:rPr>
            </w:pPr>
            <w:r w:rsidRPr="000A5C55">
              <w:rPr>
                <w:rFonts w:ascii="Times New Roman" w:hAnsi="Times New Roman"/>
                <w:sz w:val="24"/>
                <w:szCs w:val="24"/>
              </w:rPr>
              <w:t>All GBC Cases</w:t>
            </w:r>
          </w:p>
        </w:tc>
        <w:tc>
          <w:tcPr>
            <w:tcW w:w="1083" w:type="dxa"/>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43</w:t>
            </w:r>
          </w:p>
        </w:tc>
        <w:tc>
          <w:tcPr>
            <w:tcW w:w="2247" w:type="dxa"/>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12/ 27.9%</w:t>
            </w:r>
          </w:p>
        </w:tc>
        <w:tc>
          <w:tcPr>
            <w:tcW w:w="2050" w:type="dxa"/>
            <w:shd w:val="clear" w:color="auto" w:fill="auto"/>
            <w:vAlign w:val="center"/>
          </w:tcPr>
          <w:p w:rsidR="000A5C55" w:rsidRPr="000A5C55" w:rsidRDefault="000A5C55" w:rsidP="001858CA">
            <w:pPr>
              <w:tabs>
                <w:tab w:val="left" w:pos="0"/>
              </w:tabs>
              <w:spacing w:after="0" w:line="360" w:lineRule="auto"/>
              <w:jc w:val="center"/>
              <w:rPr>
                <w:rFonts w:ascii="Times New Roman" w:hAnsi="Times New Roman"/>
                <w:sz w:val="24"/>
                <w:szCs w:val="24"/>
              </w:rPr>
            </w:pPr>
            <w:r w:rsidRPr="000A5C55">
              <w:rPr>
                <w:rFonts w:ascii="Times New Roman" w:hAnsi="Times New Roman"/>
                <w:sz w:val="24"/>
                <w:szCs w:val="24"/>
              </w:rPr>
              <w:t>31/ 72%</w:t>
            </w:r>
          </w:p>
        </w:tc>
      </w:tr>
    </w:tbl>
    <w:p w:rsidR="007F5D0B" w:rsidRPr="000A5C55" w:rsidRDefault="007F5D0B">
      <w:pPr>
        <w:rPr>
          <w:sz w:val="24"/>
          <w:szCs w:val="24"/>
        </w:rPr>
      </w:pPr>
    </w:p>
    <w:sectPr w:rsidR="007F5D0B" w:rsidRPr="000A5C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2"/>
  </w:compat>
  <w:rsids>
    <w:rsidRoot w:val="001B1F08"/>
    <w:rsid w:val="000A5C55"/>
    <w:rsid w:val="001B1F08"/>
    <w:rsid w:val="007F5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32DE3"/>
  <w15:chartTrackingRefBased/>
  <w15:docId w15:val="{DAABCBD2-39D7-4749-A289-0EEEA7E01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C55"/>
    <w:rPr>
      <w:rFonts w:ascii="Calibri" w:eastAsia="Times New Roman" w:hAnsi="Calibri" w:cs="Times New Roman"/>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1195</Characters>
  <Application>Microsoft Office Word</Application>
  <DocSecurity>0</DocSecurity>
  <Lines>9</Lines>
  <Paragraphs>2</Paragraphs>
  <ScaleCrop>false</ScaleCrop>
  <Company>Microsoft</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2020-09-20T11:48:00Z</dcterms:created>
  <dcterms:modified xsi:type="dcterms:W3CDTF">2020-09-20T11:49:00Z</dcterms:modified>
</cp:coreProperties>
</file>