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12" w:rsidRPr="004B6712" w:rsidRDefault="004B6712" w:rsidP="004B6712">
      <w:pPr>
        <w:tabs>
          <w:tab w:val="left" w:pos="360"/>
          <w:tab w:val="left" w:pos="709"/>
        </w:tabs>
        <w:spacing w:after="0" w:line="360" w:lineRule="auto"/>
        <w:jc w:val="both"/>
        <w:textAlignment w:val="baseline"/>
        <w:rPr>
          <w:rFonts w:ascii="Times New Roman" w:hAnsi="Times New Roman"/>
          <w:b/>
          <w:shd w:val="clear" w:color="auto" w:fill="FFFFFF"/>
        </w:rPr>
      </w:pPr>
      <w:r w:rsidRPr="004B6712">
        <w:rPr>
          <w:rFonts w:ascii="Times New Roman" w:hAnsi="Times New Roman"/>
          <w:b/>
          <w:shd w:val="clear" w:color="auto" w:fill="FFFFFF"/>
        </w:rPr>
        <w:t>Supplementary Table S5</w:t>
      </w:r>
    </w:p>
    <w:p w:rsidR="004B6712" w:rsidRPr="004B6712" w:rsidRDefault="004B6712" w:rsidP="004B6712">
      <w:pPr>
        <w:tabs>
          <w:tab w:val="left" w:pos="360"/>
          <w:tab w:val="left" w:pos="709"/>
        </w:tabs>
        <w:spacing w:after="0" w:line="360" w:lineRule="auto"/>
        <w:jc w:val="both"/>
        <w:textAlignment w:val="baseline"/>
        <w:rPr>
          <w:rFonts w:ascii="Times New Roman" w:hAnsi="Times New Roman"/>
          <w:shd w:val="clear" w:color="auto" w:fill="FFFFFF"/>
        </w:rPr>
      </w:pPr>
      <w:r w:rsidRPr="004B6712">
        <w:rPr>
          <w:rFonts w:ascii="Times New Roman" w:hAnsi="Times New Roman"/>
          <w:shd w:val="clear" w:color="auto" w:fill="FFFFFF"/>
        </w:rPr>
        <w:t xml:space="preserve">Correlation of the autoantibody levels with </w:t>
      </w:r>
      <w:r w:rsidR="0001461D">
        <w:rPr>
          <w:rFonts w:ascii="Times New Roman" w:hAnsi="Times New Roman"/>
          <w:shd w:val="clear" w:color="auto" w:fill="FFFFFF"/>
        </w:rPr>
        <w:t xml:space="preserve">clinical </w:t>
      </w:r>
      <w:r w:rsidRPr="004B6712">
        <w:rPr>
          <w:rFonts w:ascii="Times New Roman" w:hAnsi="Times New Roman"/>
          <w:shd w:val="clear" w:color="auto" w:fill="FFFFFF"/>
        </w:rPr>
        <w:t>parameters TLC, Bilirubin, SGOT, SGPT, ALP levels in GBC</w:t>
      </w:r>
      <w:r w:rsidR="0001461D">
        <w:rPr>
          <w:rFonts w:ascii="Times New Roman" w:hAnsi="Times New Roman"/>
          <w:shd w:val="clear" w:color="auto" w:fill="FFFFFF"/>
        </w:rPr>
        <w:t xml:space="preserve"> cases</w:t>
      </w:r>
      <w:r w:rsidRPr="004B6712">
        <w:rPr>
          <w:rFonts w:ascii="Times New Roman" w:hAnsi="Times New Roman"/>
          <w:shd w:val="clear" w:color="auto" w:fill="FFFFFF"/>
        </w:rPr>
        <w:t>. We did not find any correlation of increased autoantibody levels with increased levels of TLC, liver enzymes. The values in bold are above the normal range.</w:t>
      </w:r>
    </w:p>
    <w:p w:rsidR="004B6712" w:rsidRPr="004B6712" w:rsidRDefault="004B6712" w:rsidP="004B6712">
      <w:pPr>
        <w:tabs>
          <w:tab w:val="left" w:pos="360"/>
          <w:tab w:val="left" w:pos="709"/>
        </w:tabs>
        <w:spacing w:after="0" w:line="360" w:lineRule="auto"/>
        <w:jc w:val="both"/>
        <w:textAlignment w:val="baseline"/>
        <w:rPr>
          <w:rFonts w:ascii="Times New Roman" w:hAnsi="Times New Roman"/>
          <w:shd w:val="clear" w:color="auto" w:fill="FFFFFF"/>
        </w:rPr>
      </w:pPr>
    </w:p>
    <w:tbl>
      <w:tblPr>
        <w:tblW w:w="12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2086"/>
        <w:gridCol w:w="1897"/>
        <w:gridCol w:w="1352"/>
        <w:gridCol w:w="1264"/>
        <w:gridCol w:w="1264"/>
        <w:gridCol w:w="1174"/>
        <w:gridCol w:w="1174"/>
        <w:gridCol w:w="1222"/>
      </w:tblGrid>
      <w:tr w:rsidR="000A74C5" w:rsidRPr="00CA363D" w:rsidTr="000A74C5">
        <w:trPr>
          <w:trHeight w:val="1335"/>
          <w:jc w:val="center"/>
        </w:trPr>
        <w:tc>
          <w:tcPr>
            <w:tcW w:w="897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0A74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S. No.</w:t>
            </w: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Anti ANXA1 Autoantibody level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Anti ANXA1 Autoantibody level</w:t>
            </w:r>
            <w:r w:rsidRPr="00CA363D">
              <w:rPr>
                <w:rFonts w:ascii="Times New Roman" w:hAnsi="Times New Roman"/>
                <w:b/>
                <w:bCs/>
                <w:sz w:val="20"/>
              </w:rPr>
              <w:br/>
              <w:t>(</w:t>
            </w:r>
            <w:r>
              <w:rPr>
                <w:rFonts w:ascii="Times New Roman" w:hAnsi="Times New Roman"/>
                <w:b/>
                <w:bCs/>
                <w:sz w:val="20"/>
              </w:rPr>
              <w:t>*</w:t>
            </w:r>
            <w:r w:rsidRPr="00CA363D">
              <w:rPr>
                <w:rFonts w:ascii="Times New Roman" w:hAnsi="Times New Roman"/>
                <w:b/>
                <w:bCs/>
                <w:sz w:val="20"/>
              </w:rPr>
              <w:t>percentile value)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TLC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Bilirubin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SGOT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SGPT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A363D">
              <w:rPr>
                <w:rFonts w:ascii="Times New Roman" w:hAnsi="Times New Roman"/>
                <w:b/>
                <w:bCs/>
                <w:sz w:val="20"/>
              </w:rPr>
              <w:t>ALP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0A74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A74C5">
              <w:rPr>
                <w:rFonts w:ascii="Times New Roman" w:hAnsi="Times New Roman"/>
                <w:b/>
                <w:bCs/>
                <w:sz w:val="20"/>
              </w:rPr>
              <w:t>Cholestasis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A363D">
              <w:rPr>
                <w:rFonts w:ascii="Times New Roman" w:hAnsi="Times New Roman"/>
                <w:bCs/>
                <w:sz w:val="20"/>
              </w:rPr>
              <w:t>High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20.786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17900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1.6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A363D">
              <w:rPr>
                <w:rFonts w:ascii="Times New Roman" w:hAnsi="Times New Roman"/>
                <w:bCs/>
                <w:sz w:val="20"/>
              </w:rPr>
              <w:t>High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22.716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15900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124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A363D">
              <w:rPr>
                <w:rFonts w:ascii="Times New Roman" w:hAnsi="Times New Roman"/>
                <w:bCs/>
                <w:sz w:val="20"/>
              </w:rPr>
              <w:t>High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21.359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8400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1.6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181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A363D">
              <w:rPr>
                <w:rFonts w:ascii="Times New Roman" w:hAnsi="Times New Roman"/>
                <w:bCs/>
                <w:sz w:val="20"/>
              </w:rPr>
              <w:t>High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28.31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8000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0.7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Low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9800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0.8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87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Low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2.872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9700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Low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2.773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8300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0.7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132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Low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2.914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7650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0.5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  <w:tr w:rsidR="000A74C5" w:rsidRPr="00CA363D" w:rsidTr="000A74C5">
        <w:trPr>
          <w:trHeight w:val="351"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p w:rsidR="000A74C5" w:rsidRPr="00CA363D" w:rsidRDefault="000A74C5" w:rsidP="000A74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Low Aab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2.154</w:t>
            </w:r>
          </w:p>
        </w:tc>
        <w:tc>
          <w:tcPr>
            <w:tcW w:w="1352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7000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0.8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41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A363D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1174" w:type="dxa"/>
            <w:shd w:val="clear" w:color="auto" w:fill="auto"/>
            <w:noWrap/>
            <w:vAlign w:val="center"/>
            <w:hideMark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89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0A74C5" w:rsidRPr="00CA363D" w:rsidRDefault="000A74C5" w:rsidP="001858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A363D">
              <w:rPr>
                <w:rFonts w:ascii="Times New Roman" w:hAnsi="Times New Roman"/>
                <w:sz w:val="20"/>
              </w:rPr>
              <w:t>No</w:t>
            </w:r>
          </w:p>
        </w:tc>
      </w:tr>
    </w:tbl>
    <w:p w:rsidR="007F5D0B" w:rsidRDefault="007F5D0B" w:rsidP="00C92677">
      <w:pPr>
        <w:spacing w:after="0"/>
      </w:pPr>
    </w:p>
    <w:p w:rsidR="00490FBE" w:rsidRPr="007459EB" w:rsidRDefault="00490FBE">
      <w:pPr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D93AA4">
        <w:rPr>
          <w:rFonts w:ascii="Times New Roman" w:hAnsi="Times New Roman"/>
        </w:rPr>
        <w:t>The autoantibody levels are indica</w:t>
      </w:r>
      <w:r>
        <w:rPr>
          <w:rFonts w:ascii="Times New Roman" w:hAnsi="Times New Roman"/>
        </w:rPr>
        <w:t>ted by density (arbitrary units</w:t>
      </w:r>
      <w:r w:rsidRPr="00D93AA4">
        <w:rPr>
          <w:rFonts w:ascii="Times New Roman" w:hAnsi="Times New Roman"/>
        </w:rPr>
        <w:t>) of immunoreactive spots (percentile value) after dot blot assay. The percentile value below 20 was considered ‘low’ and &gt;20 was considered ‘high’.</w:t>
      </w:r>
      <w:r w:rsidR="00C92677">
        <w:rPr>
          <w:rFonts w:ascii="Times New Roman" w:hAnsi="Times New Roman"/>
        </w:rPr>
        <w:t xml:space="preserve"> </w:t>
      </w:r>
      <w:r w:rsidR="007459EB">
        <w:rPr>
          <w:rFonts w:ascii="Times New Roman" w:hAnsi="Times New Roman"/>
        </w:rPr>
        <w:t xml:space="preserve">The </w:t>
      </w:r>
      <w:r w:rsidR="007459EB" w:rsidRPr="007459EB">
        <w:rPr>
          <w:rFonts w:ascii="Times New Roman" w:hAnsi="Times New Roman"/>
        </w:rPr>
        <w:t xml:space="preserve">patients include </w:t>
      </w:r>
      <w:r w:rsidR="007459EB" w:rsidRPr="007459EB">
        <w:rPr>
          <w:rFonts w:ascii="Times New Roman" w:hAnsi="Times New Roman"/>
        </w:rPr>
        <w:t>8 female</w:t>
      </w:r>
      <w:r w:rsidR="007459EB" w:rsidRPr="007459EB">
        <w:rPr>
          <w:rFonts w:ascii="Times New Roman" w:hAnsi="Times New Roman"/>
        </w:rPr>
        <w:t>s</w:t>
      </w:r>
      <w:r w:rsidR="007459EB" w:rsidRPr="007459EB">
        <w:rPr>
          <w:rFonts w:ascii="Times New Roman" w:hAnsi="Times New Roman"/>
        </w:rPr>
        <w:t xml:space="preserve"> and 1 male</w:t>
      </w:r>
      <w:r w:rsidR="007459EB" w:rsidRPr="007459EB">
        <w:rPr>
          <w:rFonts w:ascii="Times New Roman" w:hAnsi="Times New Roman"/>
        </w:rPr>
        <w:t xml:space="preserve"> with age </w:t>
      </w:r>
      <w:r w:rsidR="00C92677" w:rsidRPr="007459EB">
        <w:rPr>
          <w:rFonts w:ascii="Times New Roman" w:hAnsi="Times New Roman"/>
        </w:rPr>
        <w:t>rang</w:t>
      </w:r>
      <w:r w:rsidR="007459EB" w:rsidRPr="007459EB">
        <w:rPr>
          <w:rFonts w:ascii="Times New Roman" w:hAnsi="Times New Roman"/>
        </w:rPr>
        <w:t>e of</w:t>
      </w:r>
      <w:r w:rsidR="00C92677" w:rsidRPr="007459EB">
        <w:rPr>
          <w:rFonts w:ascii="Times New Roman" w:hAnsi="Times New Roman"/>
        </w:rPr>
        <w:t xml:space="preserve"> 34 to 66 years</w:t>
      </w:r>
      <w:r w:rsidR="007459EB" w:rsidRPr="007459EB">
        <w:rPr>
          <w:rFonts w:ascii="Times New Roman" w:hAnsi="Times New Roman"/>
        </w:rPr>
        <w:t>.</w:t>
      </w:r>
    </w:p>
    <w:p w:rsidR="00AF4C51" w:rsidRPr="004B6712" w:rsidRDefault="00AF4C51">
      <w:r w:rsidRPr="007459EB">
        <w:rPr>
          <w:rFonts w:ascii="Times New Roman" w:hAnsi="Times New Roman"/>
          <w:szCs w:val="20"/>
          <w:shd w:val="clear" w:color="auto" w:fill="FFFFFF"/>
        </w:rPr>
        <w:t>TLC- Total leukocyte count, SGOT-Serum Glutamic Oxaloacetic Transaminase or Aspartate</w:t>
      </w:r>
      <w:r w:rsidRPr="007D4092">
        <w:rPr>
          <w:rFonts w:ascii="Times New Roman" w:hAnsi="Times New Roman"/>
          <w:color w:val="000000"/>
          <w:szCs w:val="20"/>
          <w:shd w:val="clear" w:color="auto" w:fill="FFFFFF"/>
        </w:rPr>
        <w:t xml:space="preserve"> transaminase, SGPT- Serum glutamic pyruvic transaminase or alanine aminotransferase, ALP- Alkaline phosphatase, GSD- Gallston</w:t>
      </w:r>
      <w:bookmarkStart w:id="0" w:name="_GoBack"/>
      <w:bookmarkEnd w:id="0"/>
      <w:r w:rsidRPr="007D4092">
        <w:rPr>
          <w:rFonts w:ascii="Times New Roman" w:hAnsi="Times New Roman"/>
          <w:color w:val="000000"/>
          <w:szCs w:val="20"/>
          <w:shd w:val="clear" w:color="auto" w:fill="FFFFFF"/>
        </w:rPr>
        <w:t>e disease, GBC- Gallbladder cancer</w:t>
      </w:r>
    </w:p>
    <w:sectPr w:rsidR="00AF4C51" w:rsidRPr="004B6712" w:rsidSect="00CA2CEC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3AD" w:rsidRDefault="001C63AD">
      <w:pPr>
        <w:spacing w:after="0" w:line="240" w:lineRule="auto"/>
      </w:pPr>
      <w:r>
        <w:separator/>
      </w:r>
    </w:p>
  </w:endnote>
  <w:endnote w:type="continuationSeparator" w:id="0">
    <w:p w:rsidR="001C63AD" w:rsidRDefault="001C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948" w:rsidRDefault="00F86BC6">
    <w:pPr>
      <w:pStyle w:val="Footer"/>
      <w:jc w:val="right"/>
    </w:pPr>
    <w:r>
      <w:rPr>
        <w:noProof/>
      </w:rPr>
      <w:fldChar w:fldCharType="begin"/>
    </w:r>
    <w:r w:rsidR="004B6712">
      <w:rPr>
        <w:noProof/>
      </w:rPr>
      <w:instrText xml:space="preserve"> PAGE   \* MERGEFORMAT </w:instrText>
    </w:r>
    <w:r>
      <w:rPr>
        <w:noProof/>
      </w:rPr>
      <w:fldChar w:fldCharType="separate"/>
    </w:r>
    <w:r w:rsidR="007459EB">
      <w:rPr>
        <w:noProof/>
      </w:rPr>
      <w:t>1</w:t>
    </w:r>
    <w:r>
      <w:rPr>
        <w:noProof/>
      </w:rPr>
      <w:fldChar w:fldCharType="end"/>
    </w:r>
  </w:p>
  <w:p w:rsidR="00E82948" w:rsidRDefault="001C63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3AD" w:rsidRDefault="001C63AD">
      <w:pPr>
        <w:spacing w:after="0" w:line="240" w:lineRule="auto"/>
      </w:pPr>
      <w:r>
        <w:separator/>
      </w:r>
    </w:p>
  </w:footnote>
  <w:footnote w:type="continuationSeparator" w:id="0">
    <w:p w:rsidR="001C63AD" w:rsidRDefault="001C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A0BC2"/>
    <w:multiLevelType w:val="hybridMultilevel"/>
    <w:tmpl w:val="A998C6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F41"/>
    <w:rsid w:val="0001461D"/>
    <w:rsid w:val="000A74C5"/>
    <w:rsid w:val="001C63AD"/>
    <w:rsid w:val="003053D9"/>
    <w:rsid w:val="00487977"/>
    <w:rsid w:val="00490FBE"/>
    <w:rsid w:val="004B6712"/>
    <w:rsid w:val="00523A6C"/>
    <w:rsid w:val="0064762E"/>
    <w:rsid w:val="006D0F41"/>
    <w:rsid w:val="007459EB"/>
    <w:rsid w:val="00793845"/>
    <w:rsid w:val="007F5D0B"/>
    <w:rsid w:val="00814DE4"/>
    <w:rsid w:val="00916529"/>
    <w:rsid w:val="00A67305"/>
    <w:rsid w:val="00AF4C51"/>
    <w:rsid w:val="00C76F98"/>
    <w:rsid w:val="00C92677"/>
    <w:rsid w:val="00CA2CEC"/>
    <w:rsid w:val="00CA363D"/>
    <w:rsid w:val="00D343CB"/>
    <w:rsid w:val="00DA439F"/>
    <w:rsid w:val="00F573FA"/>
    <w:rsid w:val="00F840DF"/>
    <w:rsid w:val="00F86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E9C2EA-5672-4EF8-A0B2-99A62EBF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712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7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B67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712"/>
    <w:rPr>
      <w:rFonts w:ascii="Calibri" w:eastAsia="Times New Roman" w:hAnsi="Calibri" w:cs="Times New Roman"/>
      <w:lang w:val="en-IN" w:eastAsia="en-IN"/>
    </w:rPr>
  </w:style>
  <w:style w:type="character" w:styleId="LineNumber">
    <w:name w:val="line number"/>
    <w:basedOn w:val="DefaultParagraphFont"/>
    <w:uiPriority w:val="99"/>
    <w:semiHidden/>
    <w:unhideWhenUsed/>
    <w:rsid w:val="004B6712"/>
  </w:style>
  <w:style w:type="paragraph" w:styleId="BalloonText">
    <w:name w:val="Balloon Text"/>
    <w:basedOn w:val="Normal"/>
    <w:link w:val="BalloonTextChar"/>
    <w:uiPriority w:val="99"/>
    <w:semiHidden/>
    <w:unhideWhenUsed/>
    <w:rsid w:val="00014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61D"/>
    <w:rPr>
      <w:rFonts w:ascii="Segoe UI" w:eastAsia="Times New Roman" w:hAnsi="Segoe UI" w:cs="Segoe UI"/>
      <w:sz w:val="18"/>
      <w:szCs w:val="18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DD592-8FBB-4E2E-B9D8-BE085E8C4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Poonam Gautam</cp:lastModifiedBy>
  <cp:revision>15</cp:revision>
  <dcterms:created xsi:type="dcterms:W3CDTF">2020-09-20T11:50:00Z</dcterms:created>
  <dcterms:modified xsi:type="dcterms:W3CDTF">2020-11-13T13:34:00Z</dcterms:modified>
</cp:coreProperties>
</file>