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CC6B89" w14:textId="77777777" w:rsidR="000C1193" w:rsidRPr="00670390" w:rsidRDefault="000C1193" w:rsidP="000C1193">
      <w:pPr>
        <w:spacing w:line="480" w:lineRule="auto"/>
      </w:pPr>
    </w:p>
    <w:p w14:paraId="6146542A" w14:textId="77777777" w:rsidR="000C1193" w:rsidRPr="00670390" w:rsidRDefault="000C1193" w:rsidP="000C1193">
      <w:pPr>
        <w:spacing w:line="480" w:lineRule="auto"/>
      </w:pPr>
    </w:p>
    <w:p w14:paraId="6217B097" w14:textId="77777777" w:rsidR="000C1193" w:rsidRPr="00670390" w:rsidRDefault="000C1193" w:rsidP="000C1193">
      <w:pPr>
        <w:spacing w:line="480" w:lineRule="auto"/>
        <w:jc w:val="center"/>
      </w:pPr>
    </w:p>
    <w:p w14:paraId="41DE68D2" w14:textId="77777777" w:rsidR="000C1193" w:rsidRPr="00670390" w:rsidRDefault="000C1193" w:rsidP="000C1193">
      <w:pPr>
        <w:spacing w:line="480" w:lineRule="auto"/>
        <w:jc w:val="center"/>
      </w:pPr>
    </w:p>
    <w:p w14:paraId="0C682393" w14:textId="77777777" w:rsidR="000C1193" w:rsidRPr="00670390" w:rsidRDefault="000C1193" w:rsidP="000C1193">
      <w:pPr>
        <w:spacing w:line="480" w:lineRule="auto"/>
        <w:jc w:val="center"/>
        <w:rPr>
          <w:b/>
          <w:sz w:val="40"/>
          <w:szCs w:val="40"/>
        </w:rPr>
      </w:pPr>
      <w:r w:rsidRPr="00670390">
        <w:rPr>
          <w:rFonts w:hint="eastAsia"/>
          <w:b/>
          <w:sz w:val="40"/>
          <w:szCs w:val="40"/>
        </w:rPr>
        <w:t>S</w:t>
      </w:r>
      <w:r w:rsidRPr="00670390">
        <w:rPr>
          <w:b/>
          <w:sz w:val="40"/>
          <w:szCs w:val="40"/>
        </w:rPr>
        <w:t>upplementary Appendix</w:t>
      </w:r>
    </w:p>
    <w:p w14:paraId="1229655E" w14:textId="77777777" w:rsidR="000C1193" w:rsidRPr="00670390" w:rsidRDefault="000C1193" w:rsidP="000C1193">
      <w:pPr>
        <w:spacing w:line="480" w:lineRule="auto"/>
        <w:jc w:val="center"/>
        <w:rPr>
          <w:sz w:val="40"/>
          <w:szCs w:val="40"/>
        </w:rPr>
      </w:pPr>
    </w:p>
    <w:p w14:paraId="59228C02" w14:textId="77777777" w:rsidR="000C1193" w:rsidRPr="00670390" w:rsidRDefault="000C1193" w:rsidP="000C1193">
      <w:pPr>
        <w:spacing w:line="480" w:lineRule="auto"/>
        <w:jc w:val="left"/>
        <w:rPr>
          <w:b/>
          <w:sz w:val="22"/>
        </w:rPr>
      </w:pPr>
      <w:r w:rsidRPr="00670390">
        <w:rPr>
          <w:b/>
          <w:sz w:val="22"/>
        </w:rPr>
        <w:t>This appendix has been compiled by the authors to provide readers additional information about their work.</w:t>
      </w:r>
    </w:p>
    <w:p w14:paraId="1D61FFCC" w14:textId="77777777" w:rsidR="000C1193" w:rsidRPr="00670390" w:rsidRDefault="000C1193" w:rsidP="000C1193">
      <w:pPr>
        <w:spacing w:line="480" w:lineRule="auto"/>
        <w:jc w:val="left"/>
        <w:rPr>
          <w:b/>
          <w:sz w:val="22"/>
        </w:rPr>
      </w:pPr>
    </w:p>
    <w:p w14:paraId="539EEB22" w14:textId="77777777" w:rsidR="000C1193" w:rsidRPr="00670390" w:rsidRDefault="000C1193" w:rsidP="000C1193">
      <w:pPr>
        <w:spacing w:line="480" w:lineRule="auto"/>
        <w:jc w:val="left"/>
        <w:rPr>
          <w:b/>
          <w:sz w:val="22"/>
        </w:rPr>
      </w:pPr>
      <w:r w:rsidRPr="00670390">
        <w:rPr>
          <w:rFonts w:hint="eastAsia"/>
          <w:b/>
          <w:sz w:val="22"/>
        </w:rPr>
        <w:t>S</w:t>
      </w:r>
      <w:r w:rsidRPr="00670390">
        <w:rPr>
          <w:b/>
          <w:sz w:val="22"/>
        </w:rPr>
        <w:t xml:space="preserve">upplement to: </w:t>
      </w:r>
    </w:p>
    <w:p w14:paraId="12AF4FC5" w14:textId="05AC112B" w:rsidR="000C1193" w:rsidRPr="00670390" w:rsidRDefault="000C1193" w:rsidP="000C1193">
      <w:pPr>
        <w:spacing w:line="480" w:lineRule="auto"/>
        <w:jc w:val="left"/>
        <w:rPr>
          <w:b/>
          <w:sz w:val="22"/>
        </w:rPr>
      </w:pPr>
      <w:r w:rsidRPr="00670390">
        <w:rPr>
          <w:b/>
          <w:sz w:val="22"/>
        </w:rPr>
        <w:t>Tamura R, et al. Clinical and Histopathological analysis of VEGF receptors peptide vaccine in patients with primary glioblastoma</w:t>
      </w:r>
      <w:r w:rsidR="00B64956" w:rsidRPr="00670390">
        <w:rPr>
          <w:b/>
          <w:sz w:val="22"/>
        </w:rPr>
        <w:t xml:space="preserve"> - a case series</w:t>
      </w:r>
    </w:p>
    <w:p w14:paraId="6A93F8ED" w14:textId="77777777" w:rsidR="000C1193" w:rsidRPr="00670390" w:rsidRDefault="000C1193" w:rsidP="000C1193">
      <w:pPr>
        <w:spacing w:line="480" w:lineRule="auto"/>
        <w:jc w:val="left"/>
        <w:rPr>
          <w:i/>
        </w:rPr>
      </w:pPr>
    </w:p>
    <w:p w14:paraId="49C19D6C" w14:textId="77777777" w:rsidR="000C1193" w:rsidRPr="00670390" w:rsidRDefault="000C1193" w:rsidP="000C1193">
      <w:pPr>
        <w:spacing w:line="480" w:lineRule="auto"/>
        <w:jc w:val="left"/>
        <w:rPr>
          <w:i/>
        </w:rPr>
      </w:pPr>
    </w:p>
    <w:p w14:paraId="23C125B5" w14:textId="77777777" w:rsidR="000C1193" w:rsidRPr="00670390" w:rsidRDefault="000C1193" w:rsidP="000C1193">
      <w:pPr>
        <w:spacing w:line="480" w:lineRule="auto"/>
        <w:jc w:val="left"/>
        <w:rPr>
          <w:i/>
        </w:rPr>
      </w:pPr>
    </w:p>
    <w:p w14:paraId="43D052B1" w14:textId="77777777" w:rsidR="000C1193" w:rsidRPr="00670390" w:rsidRDefault="000C1193" w:rsidP="000C1193">
      <w:pPr>
        <w:spacing w:line="480" w:lineRule="auto"/>
        <w:jc w:val="left"/>
        <w:rPr>
          <w:i/>
        </w:rPr>
      </w:pPr>
    </w:p>
    <w:p w14:paraId="2A012426" w14:textId="77777777" w:rsidR="000C1193" w:rsidRPr="00670390" w:rsidRDefault="000C1193" w:rsidP="000C1193">
      <w:pPr>
        <w:spacing w:line="480" w:lineRule="auto"/>
        <w:jc w:val="left"/>
        <w:rPr>
          <w:i/>
        </w:rPr>
      </w:pPr>
    </w:p>
    <w:p w14:paraId="08D4831A" w14:textId="2F857E2D" w:rsidR="000C1193" w:rsidRPr="00670390" w:rsidRDefault="000C1193" w:rsidP="000C1193">
      <w:pPr>
        <w:spacing w:line="480" w:lineRule="auto"/>
        <w:jc w:val="left"/>
        <w:rPr>
          <w:i/>
        </w:rPr>
      </w:pPr>
    </w:p>
    <w:p w14:paraId="7055A0B6" w14:textId="0AF6861F" w:rsidR="000D547C" w:rsidRPr="00670390" w:rsidRDefault="000D547C" w:rsidP="00B4101D">
      <w:pPr>
        <w:spacing w:line="480" w:lineRule="auto"/>
        <w:rPr>
          <w:rFonts w:ascii="Century" w:hAnsi="Century"/>
          <w:b/>
          <w:bCs/>
          <w:iCs/>
          <w:szCs w:val="21"/>
        </w:rPr>
      </w:pPr>
      <w:r w:rsidRPr="00670390">
        <w:rPr>
          <w:rFonts w:ascii="Century" w:hAnsi="Century"/>
          <w:b/>
          <w:bCs/>
          <w:iCs/>
          <w:szCs w:val="21"/>
        </w:rPr>
        <w:lastRenderedPageBreak/>
        <w:t xml:space="preserve">Supplementary </w:t>
      </w:r>
      <w:r w:rsidRPr="00670390">
        <w:rPr>
          <w:rFonts w:ascii="Century" w:hAnsi="Century" w:hint="eastAsia"/>
          <w:b/>
          <w:bCs/>
          <w:iCs/>
          <w:szCs w:val="21"/>
        </w:rPr>
        <w:t>M</w:t>
      </w:r>
      <w:r w:rsidRPr="00670390">
        <w:rPr>
          <w:rFonts w:ascii="Century" w:hAnsi="Century"/>
          <w:b/>
          <w:bCs/>
          <w:iCs/>
          <w:szCs w:val="21"/>
        </w:rPr>
        <w:t>ethods</w:t>
      </w:r>
    </w:p>
    <w:p w14:paraId="72DBA883" w14:textId="3FBDD308" w:rsidR="00B4101D" w:rsidRPr="00670390" w:rsidRDefault="00B4101D" w:rsidP="00B4101D">
      <w:pPr>
        <w:spacing w:line="480" w:lineRule="auto"/>
        <w:rPr>
          <w:rFonts w:ascii="Century" w:hAnsi="Century"/>
          <w:i/>
          <w:szCs w:val="21"/>
        </w:rPr>
      </w:pPr>
      <w:r w:rsidRPr="00670390">
        <w:rPr>
          <w:rFonts w:ascii="Century" w:hAnsi="Century"/>
          <w:i/>
          <w:szCs w:val="21"/>
        </w:rPr>
        <w:t xml:space="preserve">Isolation and stock of peripheral blood mononuclear cells </w:t>
      </w:r>
    </w:p>
    <w:p w14:paraId="6FDCA106" w14:textId="77777777" w:rsidR="00B4101D" w:rsidRPr="00670390" w:rsidRDefault="00B4101D" w:rsidP="00B4101D">
      <w:pPr>
        <w:spacing w:line="480" w:lineRule="auto"/>
        <w:ind w:firstLine="840"/>
        <w:rPr>
          <w:rFonts w:ascii="Century" w:hAnsi="Century"/>
          <w:szCs w:val="21"/>
        </w:rPr>
      </w:pPr>
      <w:r w:rsidRPr="00670390">
        <w:rPr>
          <w:rFonts w:ascii="Century" w:hAnsi="Century"/>
          <w:szCs w:val="21"/>
        </w:rPr>
        <w:t>Peripheral blood cells were obtained from patients within 2 weeks before the first cy</w:t>
      </w:r>
      <w:bookmarkStart w:id="0" w:name="_GoBack"/>
      <w:bookmarkEnd w:id="0"/>
      <w:r w:rsidRPr="00670390">
        <w:rPr>
          <w:rFonts w:ascii="Century" w:hAnsi="Century"/>
          <w:szCs w:val="21"/>
        </w:rPr>
        <w:t xml:space="preserve">cle, after 8, 12 and 14 cycles (3, 6, and 12 months). Peripheral blood mononuclear cells (PBMCs) were isolated immediately by </w:t>
      </w:r>
      <w:proofErr w:type="spellStart"/>
      <w:r w:rsidRPr="00670390">
        <w:rPr>
          <w:rFonts w:ascii="Century" w:hAnsi="Century"/>
          <w:szCs w:val="21"/>
        </w:rPr>
        <w:t>Ficoll-Paque</w:t>
      </w:r>
      <w:proofErr w:type="spellEnd"/>
      <w:r w:rsidRPr="00670390">
        <w:rPr>
          <w:rFonts w:ascii="Century" w:hAnsi="Century"/>
          <w:szCs w:val="21"/>
        </w:rPr>
        <w:t xml:space="preserve"> Plus density gradient solution (GE Healthcare Little Chalfont, UK), suspended in Cell Banker (ZENOAC, Fukushima), and frozen and stored at -80</w:t>
      </w:r>
      <w:r w:rsidRPr="00670390">
        <w:rPr>
          <w:rFonts w:ascii="MS Mincho" w:eastAsia="MS Mincho" w:hAnsi="MS Mincho" w:cs="MS Mincho" w:hint="eastAsia"/>
          <w:szCs w:val="21"/>
        </w:rPr>
        <w:t>℃</w:t>
      </w:r>
      <w:r w:rsidRPr="00670390">
        <w:rPr>
          <w:rFonts w:ascii="Century" w:hAnsi="Century"/>
          <w:szCs w:val="21"/>
        </w:rPr>
        <w:t xml:space="preserve"> in deep freezer. </w:t>
      </w:r>
    </w:p>
    <w:p w14:paraId="7E1A51B2" w14:textId="77777777" w:rsidR="00B4101D" w:rsidRPr="00670390" w:rsidRDefault="00B4101D" w:rsidP="00B4101D">
      <w:pPr>
        <w:spacing w:line="480" w:lineRule="auto"/>
        <w:rPr>
          <w:rFonts w:ascii="Century" w:hAnsi="Century"/>
          <w:szCs w:val="21"/>
        </w:rPr>
      </w:pPr>
    </w:p>
    <w:p w14:paraId="52BD16DE" w14:textId="77777777" w:rsidR="00B4101D" w:rsidRPr="00670390" w:rsidRDefault="00B4101D" w:rsidP="00B4101D">
      <w:pPr>
        <w:spacing w:line="480" w:lineRule="auto"/>
        <w:rPr>
          <w:rFonts w:ascii="Century" w:hAnsi="Century"/>
          <w:i/>
          <w:szCs w:val="21"/>
        </w:rPr>
      </w:pPr>
      <w:r w:rsidRPr="00670390">
        <w:rPr>
          <w:rFonts w:ascii="Century" w:hAnsi="Century"/>
          <w:i/>
          <w:szCs w:val="21"/>
        </w:rPr>
        <w:t xml:space="preserve">ELISPOT assay and CD8+ T-cell responses to peptide stimulation. </w:t>
      </w:r>
    </w:p>
    <w:p w14:paraId="3B233092" w14:textId="20488BB7" w:rsidR="00B4101D" w:rsidRPr="00670390" w:rsidRDefault="00B4101D" w:rsidP="00B4101D">
      <w:pPr>
        <w:spacing w:line="480" w:lineRule="auto"/>
        <w:ind w:firstLine="840"/>
        <w:rPr>
          <w:rFonts w:ascii="Century" w:hAnsi="Century"/>
          <w:szCs w:val="21"/>
          <w:highlight w:val="magenta"/>
        </w:rPr>
      </w:pPr>
      <w:r w:rsidRPr="00670390">
        <w:rPr>
          <w:rFonts w:ascii="Century" w:hAnsi="Century"/>
          <w:szCs w:val="21"/>
        </w:rPr>
        <w:t>ELISPOT assay was performed to evaluate the specific CD8 positive T cell response by contract research organization “</w:t>
      </w:r>
      <w:proofErr w:type="spellStart"/>
      <w:r w:rsidRPr="00670390">
        <w:rPr>
          <w:rFonts w:ascii="Century" w:hAnsi="Century"/>
          <w:szCs w:val="21"/>
        </w:rPr>
        <w:t>OncoTherapy</w:t>
      </w:r>
      <w:proofErr w:type="spellEnd"/>
      <w:r w:rsidRPr="00670390">
        <w:rPr>
          <w:rFonts w:ascii="Century" w:hAnsi="Century"/>
          <w:szCs w:val="21"/>
        </w:rPr>
        <w:t xml:space="preserve"> Science, Inc.” and “Cancer Precision Medicine</w:t>
      </w:r>
      <w:r w:rsidR="008D1B5E" w:rsidRPr="00670390">
        <w:rPr>
          <w:rFonts w:ascii="Century" w:hAnsi="Century"/>
          <w:szCs w:val="21"/>
        </w:rPr>
        <w:t>, Inc.</w:t>
      </w:r>
      <w:r w:rsidRPr="00670390">
        <w:rPr>
          <w:rFonts w:ascii="Century" w:hAnsi="Century"/>
          <w:szCs w:val="21"/>
        </w:rPr>
        <w:t>” [</w:t>
      </w:r>
      <w:r w:rsidR="00874C51" w:rsidRPr="00670390">
        <w:rPr>
          <w:rFonts w:ascii="Century" w:hAnsi="Century"/>
          <w:szCs w:val="21"/>
        </w:rPr>
        <w:t>1</w:t>
      </w:r>
      <w:r w:rsidRPr="00670390">
        <w:rPr>
          <w:rFonts w:ascii="Century" w:hAnsi="Century"/>
          <w:szCs w:val="21"/>
        </w:rPr>
        <w:t>], as described in our previous paper [</w:t>
      </w:r>
      <w:r w:rsidR="00874C51" w:rsidRPr="00670390">
        <w:rPr>
          <w:rFonts w:ascii="Century" w:hAnsi="Century"/>
          <w:szCs w:val="21"/>
        </w:rPr>
        <w:t>2</w:t>
      </w:r>
      <w:r w:rsidRPr="00670390">
        <w:rPr>
          <w:rFonts w:ascii="Century" w:hAnsi="Century"/>
          <w:szCs w:val="21"/>
        </w:rPr>
        <w:t>].</w:t>
      </w:r>
      <w:r w:rsidR="00CE53AA" w:rsidRPr="00670390">
        <w:t xml:space="preserve"> </w:t>
      </w:r>
      <w:r w:rsidR="00CE53AA" w:rsidRPr="00670390">
        <w:rPr>
          <w:rFonts w:ascii="Century" w:hAnsi="Century"/>
          <w:szCs w:val="21"/>
        </w:rPr>
        <w:t xml:space="preserve">The positivity for an antigen-specific CD8+ T-cell response was quantitatively defined according to a modified evaluation tree algorithm based on that described previously [3]. In brief, the number of peptide-specific spots was calculated as the average of triplicates by subtracting the number of spots in the control well from that observed in the well with peptide-pulsed stimulator. Positivity for each antigen-specific CD8+ T-cell response was classified into four grades (−, +, ++, and +++) depending on the number and variability </w:t>
      </w:r>
      <w:r w:rsidR="00CE53AA" w:rsidRPr="00670390">
        <w:rPr>
          <w:rFonts w:ascii="Century" w:hAnsi="Century"/>
          <w:szCs w:val="21"/>
        </w:rPr>
        <w:lastRenderedPageBreak/>
        <w:t xml:space="preserve">of peptide-specific spots at different responder/stimulator ratios. </w:t>
      </w:r>
      <w:r w:rsidRPr="00670390">
        <w:rPr>
          <w:rFonts w:ascii="Century" w:hAnsi="Century"/>
          <w:szCs w:val="21"/>
        </w:rPr>
        <w:t>Induction of CTLs due to vaccine was judged when the positivity increased after vaccine.</w:t>
      </w:r>
    </w:p>
    <w:p w14:paraId="500B166C" w14:textId="77777777" w:rsidR="00B4101D" w:rsidRPr="00670390" w:rsidRDefault="00B4101D" w:rsidP="00B4101D">
      <w:pPr>
        <w:spacing w:line="480" w:lineRule="auto"/>
        <w:rPr>
          <w:rFonts w:ascii="Century" w:hAnsi="Century"/>
          <w:szCs w:val="21"/>
        </w:rPr>
      </w:pPr>
    </w:p>
    <w:p w14:paraId="4ACD2BA7" w14:textId="77777777" w:rsidR="00B4101D" w:rsidRPr="00670390" w:rsidRDefault="00B4101D" w:rsidP="00B4101D"/>
    <w:p w14:paraId="3C1089FF" w14:textId="77777777" w:rsidR="00B4101D" w:rsidRPr="00670390" w:rsidRDefault="00B4101D" w:rsidP="00B4101D">
      <w:pPr>
        <w:spacing w:line="480" w:lineRule="auto"/>
        <w:rPr>
          <w:rFonts w:ascii="Century" w:hAnsi="Century"/>
          <w:szCs w:val="21"/>
        </w:rPr>
      </w:pPr>
      <w:r w:rsidRPr="00670390">
        <w:rPr>
          <w:rFonts w:ascii="Century" w:hAnsi="Century"/>
          <w:szCs w:val="21"/>
        </w:rPr>
        <w:t xml:space="preserve">Molecular-genetic analysis </w:t>
      </w:r>
    </w:p>
    <w:p w14:paraId="618ADDCB" w14:textId="7DF105C1" w:rsidR="00B4101D" w:rsidRPr="00670390" w:rsidRDefault="00B4101D" w:rsidP="00B4101D">
      <w:pPr>
        <w:spacing w:line="480" w:lineRule="auto"/>
        <w:ind w:firstLine="840"/>
        <w:rPr>
          <w:rFonts w:ascii="Century" w:hAnsi="Century"/>
          <w:szCs w:val="21"/>
        </w:rPr>
      </w:pPr>
      <w:r w:rsidRPr="00670390">
        <w:rPr>
          <w:rFonts w:ascii="Century" w:hAnsi="Century"/>
          <w:szCs w:val="21"/>
        </w:rPr>
        <w:t>Chromosomal number aberrations (CNAs) were assessed by metaphase comparative genomic hybridization, as described previously. Briefly, crude tumor DNA from formalin-fixed paraffin-embedded (FFPE) tissue was amplified by degenerate oligonucleotide primed-polymerase chain reaction (DOP-PCR), and labeled with another DOP-PCR, using digoxigenin (DIG)-11-dUTP (Roche, Mannheim, Germany). The reference DNA was amplified from 50 ng of DNA from a healthy man or woman, and labeled with biotin-</w:t>
      </w:r>
      <w:proofErr w:type="spellStart"/>
      <w:r w:rsidRPr="00670390">
        <w:rPr>
          <w:rFonts w:ascii="Century" w:hAnsi="Century"/>
          <w:szCs w:val="21"/>
        </w:rPr>
        <w:t>dUTP</w:t>
      </w:r>
      <w:proofErr w:type="spellEnd"/>
      <w:r w:rsidRPr="00670390">
        <w:rPr>
          <w:rFonts w:ascii="Century" w:hAnsi="Century"/>
          <w:szCs w:val="21"/>
        </w:rPr>
        <w:t xml:space="preserve"> (Roche). The probe mixture was denatured and hybridized to normal metaphase spreads (</w:t>
      </w:r>
      <w:proofErr w:type="spellStart"/>
      <w:r w:rsidRPr="00670390">
        <w:rPr>
          <w:rFonts w:ascii="Century" w:hAnsi="Century"/>
          <w:szCs w:val="21"/>
        </w:rPr>
        <w:t>Vysis</w:t>
      </w:r>
      <w:proofErr w:type="spellEnd"/>
      <w:r w:rsidRPr="00670390">
        <w:rPr>
          <w:rFonts w:ascii="Century" w:hAnsi="Century"/>
          <w:szCs w:val="21"/>
        </w:rPr>
        <w:t xml:space="preserve">, Downers Grove, IL, USA). Unhybridized probes were washed out, and the metaphase spread was incubated with a fluorescein isothiocyanate-conjugated anti-DIG antibody (Roche) and rhodamine-conjugated avidin (Roche). Preparations were washed and counterstained with 4,6-diamino-2phenylinodole in antifade solution. Red, green, and blue images were acquired, and ratios of fluorescence intensity along chromosomes were quantitated using the </w:t>
      </w:r>
      <w:proofErr w:type="spellStart"/>
      <w:r w:rsidRPr="00670390">
        <w:rPr>
          <w:rFonts w:ascii="Century" w:hAnsi="Century"/>
          <w:szCs w:val="21"/>
        </w:rPr>
        <w:t>CytoVision</w:t>
      </w:r>
      <w:proofErr w:type="spellEnd"/>
      <w:r w:rsidRPr="00670390">
        <w:rPr>
          <w:rFonts w:ascii="Century" w:hAnsi="Century"/>
          <w:szCs w:val="21"/>
        </w:rPr>
        <w:t>® Analysis System (Applied Imaging, San Jose, CA, USA)</w:t>
      </w:r>
      <w:r w:rsidR="00D2242E" w:rsidRPr="00670390">
        <w:rPr>
          <w:rFonts w:ascii="Century" w:hAnsi="Century"/>
          <w:szCs w:val="21"/>
        </w:rPr>
        <w:t xml:space="preserve"> </w:t>
      </w:r>
      <w:r w:rsidRPr="00670390">
        <w:rPr>
          <w:rFonts w:ascii="Century" w:hAnsi="Century"/>
          <w:szCs w:val="21"/>
        </w:rPr>
        <w:t>[</w:t>
      </w:r>
      <w:r w:rsidR="00CE53AA" w:rsidRPr="00670390">
        <w:rPr>
          <w:rFonts w:ascii="Century" w:hAnsi="Century"/>
          <w:szCs w:val="21"/>
        </w:rPr>
        <w:t>4</w:t>
      </w:r>
      <w:r w:rsidR="00D2242E" w:rsidRPr="00670390">
        <w:rPr>
          <w:rFonts w:ascii="Century" w:hAnsi="Century"/>
          <w:szCs w:val="21"/>
        </w:rPr>
        <w:t>,</w:t>
      </w:r>
      <w:r w:rsidR="00CE53AA" w:rsidRPr="00670390">
        <w:rPr>
          <w:rFonts w:ascii="Century" w:hAnsi="Century"/>
          <w:szCs w:val="21"/>
        </w:rPr>
        <w:t>5</w:t>
      </w:r>
      <w:r w:rsidRPr="00670390">
        <w:rPr>
          <w:rFonts w:ascii="Century" w:hAnsi="Century"/>
          <w:szCs w:val="21"/>
        </w:rPr>
        <w:t>]</w:t>
      </w:r>
      <w:r w:rsidR="00D2242E" w:rsidRPr="00670390">
        <w:rPr>
          <w:rFonts w:ascii="Century" w:hAnsi="Century"/>
          <w:szCs w:val="21"/>
        </w:rPr>
        <w:t>.</w:t>
      </w:r>
    </w:p>
    <w:p w14:paraId="276B8CA4" w14:textId="422108F7" w:rsidR="00B4101D" w:rsidRPr="00670390" w:rsidRDefault="00B4101D" w:rsidP="00B4101D">
      <w:pPr>
        <w:spacing w:line="480" w:lineRule="auto"/>
        <w:ind w:firstLine="840"/>
        <w:rPr>
          <w:rFonts w:ascii="Century" w:hAnsi="Century"/>
          <w:szCs w:val="21"/>
        </w:rPr>
      </w:pPr>
      <w:r w:rsidRPr="00670390">
        <w:rPr>
          <w:rFonts w:ascii="Century" w:hAnsi="Century"/>
          <w:szCs w:val="21"/>
        </w:rPr>
        <w:lastRenderedPageBreak/>
        <w:t>Mutation of the IDH1 gene was assessed as follows: FFPE tissue sections were examined for isocitrate dehydrogenase 1 (IDH1)-R132H mutation using immunohistochemistry, with an anti-mutant IDH1 antibody (</w:t>
      </w:r>
      <w:r w:rsidR="00681271" w:rsidRPr="00670390">
        <w:rPr>
          <w:rFonts w:ascii="Century" w:hAnsi="Century"/>
          <w:szCs w:val="21"/>
        </w:rPr>
        <w:t xml:space="preserve">1:20, H09, </w:t>
      </w:r>
      <w:proofErr w:type="spellStart"/>
      <w:r w:rsidRPr="00670390">
        <w:rPr>
          <w:rFonts w:ascii="Century" w:hAnsi="Century"/>
          <w:szCs w:val="21"/>
        </w:rPr>
        <w:t>Dianova</w:t>
      </w:r>
      <w:proofErr w:type="spellEnd"/>
      <w:r w:rsidRPr="00670390">
        <w:rPr>
          <w:rFonts w:ascii="Century" w:hAnsi="Century"/>
          <w:szCs w:val="21"/>
        </w:rPr>
        <w:t>) [</w:t>
      </w:r>
      <w:r w:rsidR="00CE53AA" w:rsidRPr="00670390">
        <w:rPr>
          <w:rFonts w:ascii="Century" w:hAnsi="Century"/>
          <w:szCs w:val="21"/>
        </w:rPr>
        <w:t>6</w:t>
      </w:r>
      <w:r w:rsidRPr="00670390">
        <w:rPr>
          <w:rFonts w:ascii="Century" w:hAnsi="Century"/>
          <w:szCs w:val="21"/>
        </w:rPr>
        <w:t>]. O6-methylguanine DNA methyltransferase (MGMT) promoter methylation</w:t>
      </w:r>
      <w:r w:rsidR="00681271" w:rsidRPr="00670390">
        <w:rPr>
          <w:rFonts w:ascii="Century" w:hAnsi="Century" w:hint="eastAsia"/>
          <w:szCs w:val="21"/>
        </w:rPr>
        <w:t xml:space="preserve"> </w:t>
      </w:r>
      <w:r w:rsidR="00681271" w:rsidRPr="00670390">
        <w:rPr>
          <w:rFonts w:ascii="Century" w:hAnsi="Century"/>
          <w:szCs w:val="21"/>
        </w:rPr>
        <w:t>was evaluated using anti-MGMT antibody (1:100, MT3.1, Merck Millipore)</w:t>
      </w:r>
      <w:r w:rsidRPr="00670390">
        <w:rPr>
          <w:rFonts w:ascii="Century" w:hAnsi="Century"/>
          <w:szCs w:val="21"/>
        </w:rPr>
        <w:t>.</w:t>
      </w:r>
    </w:p>
    <w:p w14:paraId="4E4F7D7D" w14:textId="77777777" w:rsidR="00B4101D" w:rsidRPr="00670390" w:rsidRDefault="00B4101D" w:rsidP="00B4101D">
      <w:pPr>
        <w:spacing w:line="480" w:lineRule="auto"/>
        <w:ind w:firstLine="840"/>
        <w:rPr>
          <w:rFonts w:ascii="Century" w:hAnsi="Century"/>
          <w:szCs w:val="21"/>
        </w:rPr>
      </w:pPr>
    </w:p>
    <w:p w14:paraId="5A8E0F42" w14:textId="77777777" w:rsidR="00B4101D" w:rsidRPr="00670390" w:rsidRDefault="00B4101D" w:rsidP="00B4101D">
      <w:pPr>
        <w:spacing w:line="480" w:lineRule="auto"/>
        <w:rPr>
          <w:rFonts w:ascii="Century" w:hAnsi="Century"/>
          <w:i/>
          <w:szCs w:val="21"/>
        </w:rPr>
      </w:pPr>
      <w:r w:rsidRPr="00670390">
        <w:rPr>
          <w:rFonts w:ascii="Century" w:hAnsi="Century"/>
          <w:i/>
          <w:szCs w:val="21"/>
        </w:rPr>
        <w:t>Immunohistochemical analysis</w:t>
      </w:r>
    </w:p>
    <w:p w14:paraId="16EC3191" w14:textId="0105A6D6" w:rsidR="00B4101D" w:rsidRPr="00670390" w:rsidRDefault="00B4101D" w:rsidP="00B4101D">
      <w:pPr>
        <w:spacing w:line="480" w:lineRule="auto"/>
        <w:ind w:firstLine="840"/>
        <w:rPr>
          <w:rFonts w:ascii="Century" w:hAnsi="Century"/>
          <w:szCs w:val="21"/>
        </w:rPr>
      </w:pPr>
      <w:r w:rsidRPr="00670390">
        <w:rPr>
          <w:rFonts w:ascii="Century" w:hAnsi="Century"/>
          <w:szCs w:val="21"/>
        </w:rPr>
        <w:t>Histopathological analyses were performed on 4-µm sections of formalin-fixed, paraffin-embedded tissue of paired pre- and post-vaccine obtained from Case 2.</w:t>
      </w:r>
      <w:r w:rsidRPr="00670390">
        <w:rPr>
          <w:rFonts w:ascii="Century" w:hAnsi="Century"/>
        </w:rPr>
        <w:t xml:space="preserve"> </w:t>
      </w:r>
      <w:r w:rsidRPr="00670390">
        <w:rPr>
          <w:rFonts w:ascii="Century" w:hAnsi="Century"/>
          <w:szCs w:val="21"/>
        </w:rPr>
        <w:t xml:space="preserve">Immunohistochemistry was performed with anti-VEGF-A antibody (1:200, JH121, </w:t>
      </w:r>
      <w:proofErr w:type="spellStart"/>
      <w:r w:rsidRPr="00670390">
        <w:rPr>
          <w:rFonts w:ascii="Century" w:hAnsi="Century"/>
          <w:szCs w:val="21"/>
        </w:rPr>
        <w:t>Merick</w:t>
      </w:r>
      <w:proofErr w:type="spellEnd"/>
      <w:r w:rsidRPr="00670390">
        <w:rPr>
          <w:rFonts w:ascii="Century" w:hAnsi="Century"/>
          <w:szCs w:val="21"/>
        </w:rPr>
        <w:t xml:space="preserve"> Millipore), anti-VEGFR-1 antibody (1:100, AF321, R&amp;D Systems), anti-VEGFR-2 antibody (1:600, 55B11, Cell Signaling), anti-CD34 antibody (1:100, </w:t>
      </w:r>
      <w:proofErr w:type="spellStart"/>
      <w:r w:rsidRPr="00670390">
        <w:rPr>
          <w:rFonts w:ascii="Century" w:hAnsi="Century"/>
          <w:szCs w:val="21"/>
        </w:rPr>
        <w:t>QBEnd</w:t>
      </w:r>
      <w:proofErr w:type="spellEnd"/>
      <w:r w:rsidRPr="00670390">
        <w:rPr>
          <w:rFonts w:ascii="Century" w:hAnsi="Century"/>
          <w:szCs w:val="21"/>
        </w:rPr>
        <w:t xml:space="preserve"> 10; </w:t>
      </w:r>
      <w:proofErr w:type="spellStart"/>
      <w:r w:rsidRPr="00670390">
        <w:rPr>
          <w:rFonts w:ascii="Century" w:hAnsi="Century"/>
          <w:szCs w:val="21"/>
        </w:rPr>
        <w:t>Dako</w:t>
      </w:r>
      <w:proofErr w:type="spellEnd"/>
      <w:r w:rsidRPr="00670390">
        <w:rPr>
          <w:rFonts w:ascii="Century" w:hAnsi="Century"/>
          <w:szCs w:val="21"/>
        </w:rPr>
        <w:t xml:space="preserve">), anti-PDGFR-β antibody (1:50, Y92; Abcam), anti-PD-1 antibody (1:50, NAT105, Abcam), anti-PD-L1 antibody (1:500, 28-8, Abcam), anti-CD4 antibody (1:200, 1F6, Nichirei Biosciences Inc.), anti-CD8 antibody (1:100, 144B, Abcam), anti-Foxp3 antibody (1:100, ab54501, Abcam), and anti-CD163 antibody (1:100, ab87099, </w:t>
      </w:r>
      <w:proofErr w:type="spellStart"/>
      <w:r w:rsidRPr="00670390">
        <w:rPr>
          <w:rFonts w:ascii="Century" w:hAnsi="Century"/>
          <w:szCs w:val="21"/>
        </w:rPr>
        <w:t>Abcam</w:t>
      </w:r>
      <w:proofErr w:type="spellEnd"/>
      <w:r w:rsidRPr="00670390">
        <w:rPr>
          <w:rFonts w:ascii="Century" w:hAnsi="Century"/>
          <w:szCs w:val="21"/>
        </w:rPr>
        <w:t>), anti-</w:t>
      </w:r>
      <w:proofErr w:type="spellStart"/>
      <w:r w:rsidRPr="00670390">
        <w:rPr>
          <w:rFonts w:ascii="Century" w:hAnsi="Century"/>
          <w:szCs w:val="21"/>
        </w:rPr>
        <w:t>nestin</w:t>
      </w:r>
      <w:proofErr w:type="spellEnd"/>
      <w:r w:rsidRPr="00670390">
        <w:rPr>
          <w:rFonts w:ascii="Century" w:hAnsi="Century"/>
          <w:szCs w:val="21"/>
        </w:rPr>
        <w:t xml:space="preserve"> antibody (1:100, 10C2, </w:t>
      </w:r>
      <w:proofErr w:type="spellStart"/>
      <w:r w:rsidRPr="00670390">
        <w:rPr>
          <w:rFonts w:ascii="Century" w:hAnsi="Century"/>
          <w:szCs w:val="21"/>
        </w:rPr>
        <w:t>Chemicon</w:t>
      </w:r>
      <w:proofErr w:type="spellEnd"/>
      <w:r w:rsidRPr="00670390">
        <w:rPr>
          <w:rFonts w:ascii="Century" w:hAnsi="Century"/>
          <w:szCs w:val="21"/>
        </w:rPr>
        <w:t xml:space="preserve">), </w:t>
      </w:r>
      <w:r w:rsidR="0024774D" w:rsidRPr="00670390">
        <w:rPr>
          <w:rFonts w:ascii="Century" w:hAnsi="Century"/>
          <w:szCs w:val="21"/>
        </w:rPr>
        <w:t xml:space="preserve">and </w:t>
      </w:r>
      <w:r w:rsidRPr="00670390">
        <w:rPr>
          <w:rFonts w:ascii="Century" w:hAnsi="Century"/>
          <w:szCs w:val="21"/>
        </w:rPr>
        <w:t>anti-clea</w:t>
      </w:r>
      <w:r w:rsidR="0024774D" w:rsidRPr="00670390">
        <w:rPr>
          <w:rFonts w:ascii="Century" w:hAnsi="Century"/>
          <w:szCs w:val="21"/>
        </w:rPr>
        <w:t>ved</w:t>
      </w:r>
      <w:r w:rsidRPr="00670390">
        <w:rPr>
          <w:rFonts w:ascii="Century" w:hAnsi="Century"/>
          <w:szCs w:val="21"/>
        </w:rPr>
        <w:t xml:space="preserve"> caspase 3 antibody (1:200, ASP 175, CST). The antigen retrieval was performed in citrate buffer (pH 6 for </w:t>
      </w:r>
      <w:r w:rsidRPr="00670390">
        <w:rPr>
          <w:rFonts w:ascii="Century" w:hAnsi="Century"/>
          <w:szCs w:val="21"/>
        </w:rPr>
        <w:lastRenderedPageBreak/>
        <w:t xml:space="preserve">VEGFR1, PD-1, CD4, Foxp3, CD163 and </w:t>
      </w:r>
      <w:proofErr w:type="spellStart"/>
      <w:r w:rsidRPr="00670390">
        <w:rPr>
          <w:rFonts w:ascii="Century" w:hAnsi="Century"/>
          <w:szCs w:val="21"/>
        </w:rPr>
        <w:t>Nestin</w:t>
      </w:r>
      <w:proofErr w:type="spellEnd"/>
      <w:r w:rsidRPr="00670390">
        <w:rPr>
          <w:rFonts w:ascii="Century" w:hAnsi="Century"/>
          <w:szCs w:val="21"/>
        </w:rPr>
        <w:t xml:space="preserve">), or in </w:t>
      </w:r>
      <w:proofErr w:type="spellStart"/>
      <w:r w:rsidRPr="00670390">
        <w:rPr>
          <w:rFonts w:ascii="Century" w:hAnsi="Century"/>
          <w:szCs w:val="21"/>
        </w:rPr>
        <w:t>Tris</w:t>
      </w:r>
      <w:proofErr w:type="spellEnd"/>
      <w:r w:rsidRPr="00670390">
        <w:rPr>
          <w:rFonts w:ascii="Century" w:hAnsi="Century"/>
          <w:szCs w:val="21"/>
        </w:rPr>
        <w:t xml:space="preserve"> buffer (pH 9 for VEGF-A, VEGFR2, CD34, PDGFR-β, PD-L1, CD8, cleav</w:t>
      </w:r>
      <w:r w:rsidR="0024774D" w:rsidRPr="00670390">
        <w:rPr>
          <w:rFonts w:ascii="Century" w:hAnsi="Century"/>
          <w:szCs w:val="21"/>
        </w:rPr>
        <w:t>ed</w:t>
      </w:r>
      <w:r w:rsidRPr="00670390">
        <w:rPr>
          <w:rFonts w:ascii="Century" w:hAnsi="Century"/>
          <w:szCs w:val="21"/>
        </w:rPr>
        <w:t xml:space="preserve"> caspase</w:t>
      </w:r>
      <w:r w:rsidR="0024774D" w:rsidRPr="00670390">
        <w:rPr>
          <w:rFonts w:ascii="Century" w:hAnsi="Century"/>
          <w:szCs w:val="21"/>
        </w:rPr>
        <w:t xml:space="preserve"> 3</w:t>
      </w:r>
      <w:r w:rsidR="00F376C8" w:rsidRPr="00670390">
        <w:rPr>
          <w:rFonts w:ascii="Century" w:hAnsi="Century"/>
          <w:szCs w:val="21"/>
        </w:rPr>
        <w:t>)</w:t>
      </w:r>
      <w:r w:rsidRPr="00670390">
        <w:rPr>
          <w:rFonts w:ascii="Century" w:hAnsi="Century"/>
          <w:szCs w:val="21"/>
        </w:rPr>
        <w:t xml:space="preserve"> using microwave irradiation or </w:t>
      </w:r>
      <w:proofErr w:type="spellStart"/>
      <w:r w:rsidRPr="00670390">
        <w:rPr>
          <w:rFonts w:ascii="Century" w:hAnsi="Century"/>
          <w:szCs w:val="21"/>
        </w:rPr>
        <w:t>autocrave</w:t>
      </w:r>
      <w:proofErr w:type="spellEnd"/>
      <w:r w:rsidRPr="00670390">
        <w:rPr>
          <w:rFonts w:ascii="Century" w:hAnsi="Century"/>
          <w:szCs w:val="21"/>
        </w:rPr>
        <w:t xml:space="preserve"> (PD-L1), and the products were visualized with peroxidase-diaminobenzidine reaction. All expressions were assessed by consensus of four authors with blinded clinical information (RT, </w:t>
      </w:r>
      <w:r w:rsidR="00BF6D7C" w:rsidRPr="00670390">
        <w:rPr>
          <w:rFonts w:ascii="Century" w:hAnsi="Century"/>
          <w:szCs w:val="21"/>
        </w:rPr>
        <w:t>MS</w:t>
      </w:r>
      <w:r w:rsidRPr="00670390">
        <w:rPr>
          <w:rFonts w:ascii="Century" w:hAnsi="Century"/>
          <w:szCs w:val="21"/>
        </w:rPr>
        <w:t xml:space="preserve">, </w:t>
      </w:r>
      <w:r w:rsidR="00F376C8" w:rsidRPr="00670390">
        <w:rPr>
          <w:rFonts w:ascii="Century" w:hAnsi="Century"/>
          <w:szCs w:val="21"/>
        </w:rPr>
        <w:t xml:space="preserve">and </w:t>
      </w:r>
      <w:r w:rsidRPr="00670390">
        <w:rPr>
          <w:rFonts w:ascii="Century" w:hAnsi="Century"/>
          <w:szCs w:val="21"/>
        </w:rPr>
        <w:t xml:space="preserve">YM). </w:t>
      </w:r>
      <w:bookmarkStart w:id="1" w:name="_Hlk516488169"/>
    </w:p>
    <w:bookmarkEnd w:id="1"/>
    <w:p w14:paraId="7E36524D" w14:textId="77777777" w:rsidR="00B4101D" w:rsidRPr="00670390" w:rsidRDefault="00B4101D" w:rsidP="00B4101D"/>
    <w:p w14:paraId="050050E2" w14:textId="77777777" w:rsidR="00B4101D" w:rsidRPr="00670390" w:rsidRDefault="00B4101D" w:rsidP="00B4101D">
      <w:pPr>
        <w:spacing w:line="480" w:lineRule="auto"/>
        <w:rPr>
          <w:rFonts w:ascii="Century" w:hAnsi="Century"/>
          <w:i/>
          <w:szCs w:val="21"/>
        </w:rPr>
      </w:pPr>
      <w:r w:rsidRPr="00670390">
        <w:rPr>
          <w:rFonts w:ascii="Century" w:hAnsi="Century"/>
          <w:i/>
          <w:szCs w:val="21"/>
        </w:rPr>
        <w:t>Immunofluorescent analysis</w:t>
      </w:r>
    </w:p>
    <w:p w14:paraId="782B99C8" w14:textId="033D926C" w:rsidR="00B4101D" w:rsidRPr="00670390" w:rsidRDefault="00B4101D" w:rsidP="00B4101D">
      <w:pPr>
        <w:spacing w:line="480" w:lineRule="auto"/>
        <w:ind w:firstLine="840"/>
        <w:rPr>
          <w:rFonts w:ascii="Century" w:hAnsi="Century"/>
          <w:szCs w:val="21"/>
        </w:rPr>
      </w:pPr>
      <w:r w:rsidRPr="00670390">
        <w:rPr>
          <w:rFonts w:ascii="Century" w:hAnsi="Century"/>
          <w:szCs w:val="21"/>
        </w:rPr>
        <w:t>Immunofluorescence staining for VEGFR1, VEGFR2, and PDGFR-β expressions or VEGFR1, VEGFR2, and cleav</w:t>
      </w:r>
      <w:r w:rsidR="0024774D" w:rsidRPr="00670390">
        <w:rPr>
          <w:rFonts w:ascii="Century" w:hAnsi="Century"/>
          <w:szCs w:val="21"/>
        </w:rPr>
        <w:t>ed</w:t>
      </w:r>
      <w:r w:rsidRPr="00670390">
        <w:rPr>
          <w:rFonts w:ascii="Century" w:hAnsi="Century"/>
          <w:szCs w:val="21"/>
        </w:rPr>
        <w:t xml:space="preserve"> caspase 3, CD34, VEGFR1 and cleav</w:t>
      </w:r>
      <w:r w:rsidR="0024774D" w:rsidRPr="00670390">
        <w:rPr>
          <w:rFonts w:ascii="Century" w:hAnsi="Century"/>
          <w:szCs w:val="21"/>
        </w:rPr>
        <w:t>ed</w:t>
      </w:r>
      <w:r w:rsidRPr="00670390">
        <w:rPr>
          <w:rFonts w:ascii="Century" w:hAnsi="Century"/>
          <w:szCs w:val="21"/>
        </w:rPr>
        <w:t xml:space="preserve"> caspase 3, or Foxp3 and cleav</w:t>
      </w:r>
      <w:r w:rsidR="0024774D" w:rsidRPr="00670390">
        <w:rPr>
          <w:rFonts w:ascii="Century" w:hAnsi="Century"/>
          <w:szCs w:val="21"/>
        </w:rPr>
        <w:t>ed</w:t>
      </w:r>
      <w:r w:rsidRPr="00670390">
        <w:rPr>
          <w:rFonts w:ascii="Century" w:hAnsi="Century"/>
          <w:szCs w:val="21"/>
        </w:rPr>
        <w:t xml:space="preserve"> caspase 3 expressions was performed to evaluate the vascular characteristics. Tissue sections were incubated with antibodies against VEGFR1 (1:100, AF321, goat polyclonal IgG; R&amp;D Systems), VEGFR2(1:100, EIC, mouse monoclonal IgG; Abcam), PDGFR-β (1:50, Y92, rabbit monoclonal IgG; Abcam), CD34 (1:200, mouse </w:t>
      </w:r>
      <w:proofErr w:type="spellStart"/>
      <w:r w:rsidRPr="00670390">
        <w:rPr>
          <w:rFonts w:ascii="Century" w:hAnsi="Century"/>
          <w:szCs w:val="21"/>
        </w:rPr>
        <w:t>monoclocal</w:t>
      </w:r>
      <w:proofErr w:type="spellEnd"/>
      <w:r w:rsidRPr="00670390">
        <w:rPr>
          <w:rFonts w:ascii="Century" w:hAnsi="Century"/>
          <w:szCs w:val="21"/>
        </w:rPr>
        <w:t xml:space="preserve"> IgG; </w:t>
      </w:r>
      <w:proofErr w:type="spellStart"/>
      <w:r w:rsidRPr="00670390">
        <w:rPr>
          <w:rFonts w:ascii="Century" w:hAnsi="Century"/>
          <w:szCs w:val="21"/>
        </w:rPr>
        <w:t>QBEnd</w:t>
      </w:r>
      <w:proofErr w:type="spellEnd"/>
      <w:r w:rsidRPr="00670390">
        <w:rPr>
          <w:rFonts w:ascii="Century" w:hAnsi="Century"/>
          <w:szCs w:val="21"/>
        </w:rPr>
        <w:t xml:space="preserve"> 10; </w:t>
      </w:r>
      <w:proofErr w:type="spellStart"/>
      <w:r w:rsidRPr="00670390">
        <w:rPr>
          <w:rFonts w:ascii="Century" w:hAnsi="Century"/>
          <w:szCs w:val="21"/>
        </w:rPr>
        <w:t>Dako</w:t>
      </w:r>
      <w:proofErr w:type="spellEnd"/>
      <w:r w:rsidRPr="00670390">
        <w:rPr>
          <w:rFonts w:ascii="Century" w:hAnsi="Century"/>
          <w:szCs w:val="21"/>
        </w:rPr>
        <w:t>), cleav</w:t>
      </w:r>
      <w:r w:rsidR="0024774D" w:rsidRPr="00670390">
        <w:rPr>
          <w:rFonts w:ascii="Century" w:hAnsi="Century"/>
          <w:szCs w:val="21"/>
        </w:rPr>
        <w:t>ed</w:t>
      </w:r>
      <w:r w:rsidRPr="00670390">
        <w:rPr>
          <w:rFonts w:ascii="Century" w:hAnsi="Century"/>
          <w:szCs w:val="21"/>
        </w:rPr>
        <w:t xml:space="preserve"> caspase 3 (1:200, rabbit polyclonal IgG; ASP 175, CST) or Foxp3 (1:100, mouse monoclonal antibody, ab54501, Abcam) overnight at 4˚C. Appropriate secondary antibodies, Alexa Fluor 488 donkey anti-mouse IgG, Alexa Fluor 568 donkey anti-goat IgG, or Alexa Fluor 647 donkey anti-rabbit IgG were used(1:200). Finally, the sections were mounted with mounting medium for ﬂuorescence with 4′,6′-diamidino-2-phenylindole (DAPI; Santa Cruz </w:t>
      </w:r>
      <w:r w:rsidRPr="00670390">
        <w:rPr>
          <w:rFonts w:ascii="Century" w:hAnsi="Century"/>
          <w:szCs w:val="21"/>
        </w:rPr>
        <w:lastRenderedPageBreak/>
        <w:t xml:space="preserve">Biotechnology). Cell images were captured by </w:t>
      </w:r>
      <w:proofErr w:type="spellStart"/>
      <w:r w:rsidRPr="00670390">
        <w:rPr>
          <w:rFonts w:ascii="Century" w:hAnsi="Century"/>
          <w:szCs w:val="21"/>
        </w:rPr>
        <w:t>ﬂuorescencemicroscopy</w:t>
      </w:r>
      <w:proofErr w:type="spellEnd"/>
      <w:r w:rsidRPr="00670390">
        <w:rPr>
          <w:rFonts w:ascii="Century" w:hAnsi="Century"/>
          <w:szCs w:val="21"/>
        </w:rPr>
        <w:t xml:space="preserve"> (</w:t>
      </w:r>
      <w:proofErr w:type="spellStart"/>
      <w:r w:rsidRPr="00670390">
        <w:rPr>
          <w:rFonts w:ascii="Century" w:hAnsi="Century"/>
          <w:szCs w:val="21"/>
        </w:rPr>
        <w:t>Biorevo</w:t>
      </w:r>
      <w:proofErr w:type="spellEnd"/>
      <w:r w:rsidRPr="00670390">
        <w:rPr>
          <w:rFonts w:ascii="Century" w:hAnsi="Century"/>
          <w:szCs w:val="21"/>
        </w:rPr>
        <w:t xml:space="preserve"> BZ-9000, KEYENCE). </w:t>
      </w:r>
    </w:p>
    <w:p w14:paraId="0B31A99A" w14:textId="77777777" w:rsidR="00B4101D" w:rsidRPr="00670390" w:rsidRDefault="00B4101D" w:rsidP="00B4101D"/>
    <w:p w14:paraId="0B442E26" w14:textId="77777777" w:rsidR="00B4101D" w:rsidRPr="00670390" w:rsidRDefault="00B4101D" w:rsidP="00B4101D">
      <w:pPr>
        <w:spacing w:line="480" w:lineRule="auto"/>
        <w:rPr>
          <w:rFonts w:ascii="Century" w:hAnsi="Century"/>
          <w:i/>
          <w:szCs w:val="21"/>
        </w:rPr>
      </w:pPr>
      <w:r w:rsidRPr="00670390">
        <w:rPr>
          <w:rFonts w:ascii="Century" w:hAnsi="Century"/>
          <w:i/>
          <w:szCs w:val="21"/>
        </w:rPr>
        <w:t>RNA extraction, cDNA synthesis, and quantitative real-time PCR</w:t>
      </w:r>
    </w:p>
    <w:p w14:paraId="51AB19EE" w14:textId="1E826905" w:rsidR="00B4101D" w:rsidRPr="00670390" w:rsidRDefault="00B4101D" w:rsidP="00B4101D">
      <w:pPr>
        <w:spacing w:line="480" w:lineRule="auto"/>
        <w:ind w:firstLine="840"/>
        <w:rPr>
          <w:rFonts w:ascii="Century" w:hAnsi="Century"/>
          <w:szCs w:val="21"/>
        </w:rPr>
      </w:pPr>
      <w:r w:rsidRPr="00670390">
        <w:rPr>
          <w:rFonts w:ascii="Century" w:hAnsi="Century"/>
          <w:szCs w:val="21"/>
        </w:rPr>
        <w:t>For quantitative real-time PCR (qPCR), RNA was isolated from 10-μm sections of formalin-fixed, paraffin-embedded tissue using the “</w:t>
      </w:r>
      <w:proofErr w:type="spellStart"/>
      <w:r w:rsidRPr="00670390">
        <w:rPr>
          <w:rFonts w:ascii="Century" w:hAnsi="Century"/>
          <w:szCs w:val="21"/>
        </w:rPr>
        <w:t>NucleoSpin</w:t>
      </w:r>
      <w:proofErr w:type="spellEnd"/>
      <w:r w:rsidRPr="00670390">
        <w:rPr>
          <w:rFonts w:ascii="Century" w:hAnsi="Century"/>
          <w:szCs w:val="21"/>
        </w:rPr>
        <w:t xml:space="preserve"> total</w:t>
      </w:r>
      <w:r w:rsidRPr="00670390">
        <w:rPr>
          <w:rFonts w:ascii="Century" w:hAnsi="Century"/>
          <w:szCs w:val="21"/>
        </w:rPr>
        <w:t xml:space="preserve">　</w:t>
      </w:r>
      <w:r w:rsidRPr="00670390">
        <w:rPr>
          <w:rFonts w:ascii="Century" w:hAnsi="Century"/>
          <w:szCs w:val="21"/>
        </w:rPr>
        <w:t>RNA FFPE XS” Kit (</w:t>
      </w:r>
      <w:proofErr w:type="spellStart"/>
      <w:r w:rsidRPr="00670390">
        <w:rPr>
          <w:rFonts w:ascii="Century" w:hAnsi="Century"/>
          <w:szCs w:val="21"/>
        </w:rPr>
        <w:t>Macherey</w:t>
      </w:r>
      <w:proofErr w:type="spellEnd"/>
      <w:r w:rsidRPr="00670390">
        <w:rPr>
          <w:rFonts w:ascii="Century" w:hAnsi="Century"/>
          <w:szCs w:val="21"/>
        </w:rPr>
        <w:t xml:space="preserve">-Nagel). cDNA was subsequently obtained using </w:t>
      </w:r>
      <w:proofErr w:type="spellStart"/>
      <w:r w:rsidRPr="00670390">
        <w:rPr>
          <w:rFonts w:ascii="Century" w:hAnsi="Century"/>
          <w:szCs w:val="21"/>
        </w:rPr>
        <w:t>SuperScript</w:t>
      </w:r>
      <w:proofErr w:type="spellEnd"/>
      <w:r w:rsidRPr="00670390">
        <w:rPr>
          <w:rFonts w:ascii="Century" w:hAnsi="Century"/>
          <w:szCs w:val="21"/>
        </w:rPr>
        <w:t xml:space="preserve"> II First Strand Synthesis System with random hexamers (Invitrogen).  qPCR was performed by using 10 </w:t>
      </w:r>
      <w:proofErr w:type="spellStart"/>
      <w:r w:rsidRPr="00670390">
        <w:rPr>
          <w:rFonts w:ascii="Century" w:hAnsi="Century"/>
          <w:szCs w:val="21"/>
        </w:rPr>
        <w:t>μl</w:t>
      </w:r>
      <w:proofErr w:type="spellEnd"/>
      <w:r w:rsidRPr="00670390">
        <w:rPr>
          <w:rFonts w:ascii="Century" w:hAnsi="Century"/>
          <w:szCs w:val="21"/>
        </w:rPr>
        <w:t xml:space="preserve"> SYBR Green reagent (Applied Biosystems, USA), 2 </w:t>
      </w:r>
      <w:proofErr w:type="spellStart"/>
      <w:r w:rsidRPr="00670390">
        <w:rPr>
          <w:rFonts w:ascii="Century" w:hAnsi="Century"/>
          <w:szCs w:val="21"/>
        </w:rPr>
        <w:t>μl</w:t>
      </w:r>
      <w:proofErr w:type="spellEnd"/>
      <w:r w:rsidRPr="00670390">
        <w:rPr>
          <w:rFonts w:ascii="Century" w:hAnsi="Century"/>
          <w:szCs w:val="21"/>
        </w:rPr>
        <w:t xml:space="preserve"> synthesized cDNA , 2 </w:t>
      </w:r>
      <w:proofErr w:type="spellStart"/>
      <w:r w:rsidRPr="00670390">
        <w:rPr>
          <w:rFonts w:ascii="Century" w:hAnsi="Century"/>
          <w:szCs w:val="21"/>
        </w:rPr>
        <w:t>μl</w:t>
      </w:r>
      <w:proofErr w:type="spellEnd"/>
      <w:r w:rsidRPr="00670390">
        <w:rPr>
          <w:rFonts w:ascii="Century" w:hAnsi="Century"/>
          <w:szCs w:val="21"/>
        </w:rPr>
        <w:t xml:space="preserve"> of the same primers that were used in standard PCR and 6 </w:t>
      </w:r>
      <w:proofErr w:type="spellStart"/>
      <w:r w:rsidRPr="00670390">
        <w:rPr>
          <w:rFonts w:ascii="Century" w:hAnsi="Century"/>
          <w:szCs w:val="21"/>
        </w:rPr>
        <w:t>μl</w:t>
      </w:r>
      <w:proofErr w:type="spellEnd"/>
      <w:r w:rsidRPr="00670390">
        <w:rPr>
          <w:rFonts w:ascii="Century" w:hAnsi="Century"/>
          <w:szCs w:val="21"/>
        </w:rPr>
        <w:t xml:space="preserve"> of molecular grade water in a total volume of 20 </w:t>
      </w:r>
      <w:proofErr w:type="spellStart"/>
      <w:r w:rsidRPr="00670390">
        <w:rPr>
          <w:rFonts w:ascii="Century" w:hAnsi="Century"/>
          <w:szCs w:val="21"/>
        </w:rPr>
        <w:t>μl</w:t>
      </w:r>
      <w:proofErr w:type="spellEnd"/>
      <w:r w:rsidRPr="00670390">
        <w:rPr>
          <w:rFonts w:ascii="Century" w:hAnsi="Century"/>
          <w:szCs w:val="21"/>
        </w:rPr>
        <w:t xml:space="preserve">. qPCR was run in triplicates on ABI </w:t>
      </w:r>
      <w:proofErr w:type="spellStart"/>
      <w:r w:rsidRPr="00670390">
        <w:rPr>
          <w:rFonts w:ascii="Century" w:hAnsi="Century"/>
          <w:szCs w:val="21"/>
        </w:rPr>
        <w:t>StepOnePlus</w:t>
      </w:r>
      <w:proofErr w:type="spellEnd"/>
      <w:r w:rsidRPr="00670390">
        <w:rPr>
          <w:rFonts w:ascii="Century" w:hAnsi="Century"/>
          <w:szCs w:val="21"/>
        </w:rPr>
        <w:t xml:space="preserve"> real time PCR machine (Applied Biosystem, Foster, USA). Amplification was performed under the following conditions: 10 minutes at 95˚C, 55 cycles of 95˚C for 15 seconds and 60˚C for 60 seconds. All experiments included negative controls (</w:t>
      </w:r>
      <w:proofErr w:type="spellStart"/>
      <w:r w:rsidRPr="00670390">
        <w:rPr>
          <w:rFonts w:ascii="Century" w:hAnsi="Century"/>
          <w:szCs w:val="21"/>
        </w:rPr>
        <w:t>nontemplate</w:t>
      </w:r>
      <w:proofErr w:type="spellEnd"/>
      <w:r w:rsidRPr="00670390">
        <w:rPr>
          <w:rFonts w:ascii="Century" w:hAnsi="Century"/>
          <w:szCs w:val="21"/>
        </w:rPr>
        <w:t xml:space="preserve"> water instead of cDNA). The qPCR data were analyzed using the comparative CT method. Briefly, the difference in cycle threshold, ΔCT, was determined as the difference between the tested gene and human GAPDH. Data were then normalized to GAPDH cDNA. The fold change was calculated as 2</w:t>
      </w:r>
      <w:r w:rsidRPr="00670390">
        <w:rPr>
          <w:rFonts w:ascii="Century" w:hAnsi="Century"/>
          <w:szCs w:val="21"/>
          <w:vertAlign w:val="superscript"/>
        </w:rPr>
        <w:t>-</w:t>
      </w:r>
      <w:proofErr w:type="gramStart"/>
      <w:r w:rsidRPr="00670390">
        <w:rPr>
          <w:rFonts w:ascii="Century" w:hAnsi="Century"/>
          <w:szCs w:val="21"/>
          <w:vertAlign w:val="superscript"/>
        </w:rPr>
        <w:t>ΔΔCT</w:t>
      </w:r>
      <w:r w:rsidRPr="00670390">
        <w:rPr>
          <w:rFonts w:ascii="Century" w:hAnsi="Century"/>
          <w:szCs w:val="21"/>
        </w:rPr>
        <w:t>[</w:t>
      </w:r>
      <w:proofErr w:type="gramEnd"/>
      <w:r w:rsidR="00CE53AA" w:rsidRPr="00670390">
        <w:rPr>
          <w:rFonts w:ascii="Century" w:hAnsi="Century"/>
          <w:szCs w:val="21"/>
        </w:rPr>
        <w:t>7</w:t>
      </w:r>
      <w:r w:rsidR="00D2242E" w:rsidRPr="00670390">
        <w:rPr>
          <w:rFonts w:ascii="Century" w:hAnsi="Century"/>
          <w:szCs w:val="21"/>
        </w:rPr>
        <w:t>,</w:t>
      </w:r>
      <w:r w:rsidR="00CE53AA" w:rsidRPr="00670390">
        <w:rPr>
          <w:rFonts w:ascii="Century" w:hAnsi="Century"/>
          <w:szCs w:val="21"/>
        </w:rPr>
        <w:t>8</w:t>
      </w:r>
      <w:r w:rsidRPr="00670390">
        <w:rPr>
          <w:rFonts w:ascii="Century" w:hAnsi="Century"/>
          <w:szCs w:val="21"/>
        </w:rPr>
        <w:t>]</w:t>
      </w:r>
      <w:r w:rsidR="00D2242E" w:rsidRPr="00670390">
        <w:rPr>
          <w:rFonts w:ascii="Century" w:hAnsi="Century"/>
          <w:szCs w:val="21"/>
        </w:rPr>
        <w:t>.</w:t>
      </w:r>
      <w:r w:rsidRPr="00670390">
        <w:rPr>
          <w:rFonts w:ascii="Century" w:hAnsi="Century"/>
          <w:szCs w:val="21"/>
        </w:rPr>
        <w:t xml:space="preserve"> </w:t>
      </w:r>
    </w:p>
    <w:p w14:paraId="2C0EAD28" w14:textId="77777777" w:rsidR="00B4101D" w:rsidRPr="00670390" w:rsidRDefault="00B4101D" w:rsidP="00B4101D">
      <w:pPr>
        <w:spacing w:line="480" w:lineRule="auto"/>
        <w:rPr>
          <w:rFonts w:ascii="Century" w:hAnsi="Century"/>
          <w:szCs w:val="21"/>
        </w:rPr>
      </w:pPr>
      <w:r w:rsidRPr="00670390">
        <w:rPr>
          <w:rFonts w:ascii="Century" w:hAnsi="Century"/>
          <w:szCs w:val="21"/>
        </w:rPr>
        <w:t xml:space="preserve">Primer sequences are listed as the following: </w:t>
      </w:r>
    </w:p>
    <w:p w14:paraId="4A15AE5F" w14:textId="77777777" w:rsidR="00B4101D" w:rsidRPr="00670390" w:rsidRDefault="00B4101D" w:rsidP="00B4101D">
      <w:pPr>
        <w:spacing w:line="480" w:lineRule="auto"/>
        <w:rPr>
          <w:rFonts w:ascii="Century" w:hAnsi="Century"/>
          <w:szCs w:val="21"/>
        </w:rPr>
      </w:pPr>
      <w:r w:rsidRPr="00670390">
        <w:rPr>
          <w:rFonts w:ascii="Century" w:hAnsi="Century"/>
          <w:szCs w:val="21"/>
        </w:rPr>
        <w:lastRenderedPageBreak/>
        <w:t>VEGF-A forward (</w:t>
      </w:r>
      <w:proofErr w:type="spellStart"/>
      <w:r w:rsidRPr="00670390">
        <w:rPr>
          <w:rFonts w:ascii="Century" w:hAnsi="Century"/>
          <w:szCs w:val="21"/>
        </w:rPr>
        <w:t>fwd</w:t>
      </w:r>
      <w:proofErr w:type="spellEnd"/>
      <w:r w:rsidRPr="00670390">
        <w:rPr>
          <w:rFonts w:ascii="Century" w:hAnsi="Century"/>
          <w:szCs w:val="21"/>
        </w:rPr>
        <w:t>): GAGATGAGCTTCCTACAGCAC</w:t>
      </w:r>
    </w:p>
    <w:p w14:paraId="3CCF605B" w14:textId="77777777" w:rsidR="00B4101D" w:rsidRPr="00670390" w:rsidRDefault="00B4101D" w:rsidP="00B4101D">
      <w:pPr>
        <w:spacing w:line="480" w:lineRule="auto"/>
        <w:rPr>
          <w:rFonts w:ascii="Century" w:hAnsi="Century"/>
          <w:szCs w:val="21"/>
        </w:rPr>
      </w:pPr>
      <w:r w:rsidRPr="00670390">
        <w:rPr>
          <w:rFonts w:ascii="Century" w:hAnsi="Century"/>
          <w:szCs w:val="21"/>
        </w:rPr>
        <w:t>VEGF-A reverse (rev): TCACCGCCTCGGCTTGTCACAT</w:t>
      </w:r>
    </w:p>
    <w:p w14:paraId="7AB067D5" w14:textId="77777777" w:rsidR="00B4101D" w:rsidRPr="00670390" w:rsidRDefault="00B4101D" w:rsidP="00B4101D">
      <w:pPr>
        <w:spacing w:line="480" w:lineRule="auto"/>
        <w:rPr>
          <w:rFonts w:ascii="Century" w:hAnsi="Century"/>
          <w:szCs w:val="21"/>
        </w:rPr>
      </w:pPr>
      <w:r w:rsidRPr="00670390">
        <w:rPr>
          <w:rFonts w:ascii="Century" w:hAnsi="Century"/>
          <w:szCs w:val="21"/>
        </w:rPr>
        <w:t xml:space="preserve">VEGFR1 </w:t>
      </w:r>
      <w:proofErr w:type="spellStart"/>
      <w:r w:rsidRPr="00670390">
        <w:rPr>
          <w:rFonts w:ascii="Century" w:hAnsi="Century"/>
          <w:szCs w:val="21"/>
        </w:rPr>
        <w:t>fwd</w:t>
      </w:r>
      <w:proofErr w:type="spellEnd"/>
      <w:r w:rsidRPr="00670390">
        <w:rPr>
          <w:rFonts w:ascii="Century" w:hAnsi="Century"/>
          <w:szCs w:val="21"/>
        </w:rPr>
        <w:t>: CAGGCCCAGTTTCTGCCATT</w:t>
      </w:r>
    </w:p>
    <w:p w14:paraId="5C8C6258" w14:textId="77777777" w:rsidR="00B4101D" w:rsidRPr="00670390" w:rsidRDefault="00B4101D" w:rsidP="00B4101D">
      <w:pPr>
        <w:spacing w:line="480" w:lineRule="auto"/>
        <w:rPr>
          <w:rFonts w:ascii="Century" w:hAnsi="Century"/>
          <w:szCs w:val="21"/>
        </w:rPr>
      </w:pPr>
      <w:r w:rsidRPr="00670390">
        <w:rPr>
          <w:rFonts w:ascii="Century" w:hAnsi="Century"/>
          <w:szCs w:val="21"/>
        </w:rPr>
        <w:t>VEGFR1 rev: TTCCAGCTCAGCGTGGTCGTA</w:t>
      </w:r>
    </w:p>
    <w:p w14:paraId="10A5AF80" w14:textId="77777777" w:rsidR="00B4101D" w:rsidRPr="00670390" w:rsidRDefault="00B4101D" w:rsidP="00B4101D">
      <w:pPr>
        <w:spacing w:line="480" w:lineRule="auto"/>
        <w:rPr>
          <w:rFonts w:ascii="Century" w:hAnsi="Century"/>
          <w:szCs w:val="21"/>
        </w:rPr>
      </w:pPr>
      <w:r w:rsidRPr="00670390">
        <w:rPr>
          <w:rFonts w:ascii="Century" w:hAnsi="Century"/>
          <w:szCs w:val="21"/>
        </w:rPr>
        <w:t xml:space="preserve">VEGF2 </w:t>
      </w:r>
      <w:proofErr w:type="spellStart"/>
      <w:r w:rsidRPr="00670390">
        <w:rPr>
          <w:rFonts w:ascii="Century" w:hAnsi="Century"/>
          <w:szCs w:val="21"/>
        </w:rPr>
        <w:t>fwd</w:t>
      </w:r>
      <w:proofErr w:type="spellEnd"/>
      <w:r w:rsidRPr="00670390">
        <w:rPr>
          <w:rFonts w:ascii="Century" w:hAnsi="Century"/>
          <w:szCs w:val="21"/>
        </w:rPr>
        <w:t>: CCAGCAAAAGCAGGGAGTCTGT</w:t>
      </w:r>
    </w:p>
    <w:p w14:paraId="3F4A79B2" w14:textId="77777777" w:rsidR="00B4101D" w:rsidRPr="00670390" w:rsidRDefault="00B4101D" w:rsidP="00B4101D">
      <w:pPr>
        <w:spacing w:line="480" w:lineRule="auto"/>
        <w:rPr>
          <w:rFonts w:ascii="Century" w:hAnsi="Century"/>
          <w:szCs w:val="21"/>
        </w:rPr>
      </w:pPr>
      <w:r w:rsidRPr="00670390">
        <w:rPr>
          <w:rFonts w:ascii="Century" w:hAnsi="Century"/>
          <w:szCs w:val="21"/>
        </w:rPr>
        <w:t>VEGFR2 rev: TGTCTGTGTCATCGGAGTGATATCC</w:t>
      </w:r>
    </w:p>
    <w:p w14:paraId="272B8459" w14:textId="77777777" w:rsidR="00B4101D" w:rsidRPr="00670390" w:rsidRDefault="00B4101D" w:rsidP="00B4101D">
      <w:pPr>
        <w:spacing w:line="480" w:lineRule="auto"/>
        <w:rPr>
          <w:rFonts w:ascii="Century" w:hAnsi="Century"/>
          <w:szCs w:val="21"/>
        </w:rPr>
      </w:pPr>
      <w:r w:rsidRPr="00670390">
        <w:rPr>
          <w:rFonts w:ascii="Century" w:hAnsi="Century"/>
          <w:szCs w:val="21"/>
        </w:rPr>
        <w:t xml:space="preserve">Foxp3 </w:t>
      </w:r>
      <w:proofErr w:type="spellStart"/>
      <w:r w:rsidRPr="00670390">
        <w:rPr>
          <w:rFonts w:ascii="Century" w:hAnsi="Century"/>
          <w:szCs w:val="21"/>
        </w:rPr>
        <w:t>fwd</w:t>
      </w:r>
      <w:proofErr w:type="spellEnd"/>
      <w:r w:rsidRPr="00670390">
        <w:rPr>
          <w:rFonts w:ascii="Century" w:hAnsi="Century"/>
          <w:szCs w:val="21"/>
        </w:rPr>
        <w:t>: GGCCCTTCTCCAGGACAGA</w:t>
      </w:r>
    </w:p>
    <w:p w14:paraId="4B810646" w14:textId="77777777" w:rsidR="00B4101D" w:rsidRPr="00670390" w:rsidRDefault="00B4101D" w:rsidP="00B4101D">
      <w:pPr>
        <w:spacing w:line="480" w:lineRule="auto"/>
        <w:rPr>
          <w:rFonts w:ascii="Century" w:hAnsi="Century"/>
          <w:szCs w:val="21"/>
        </w:rPr>
      </w:pPr>
      <w:r w:rsidRPr="00670390">
        <w:rPr>
          <w:rFonts w:ascii="Century" w:hAnsi="Century"/>
          <w:szCs w:val="21"/>
        </w:rPr>
        <w:t>Foxp3 rev: GCTGATCATGGCTGGGTTGT</w:t>
      </w:r>
    </w:p>
    <w:p w14:paraId="2FDA9142" w14:textId="77777777" w:rsidR="00B4101D" w:rsidRPr="00670390" w:rsidRDefault="00B4101D" w:rsidP="00B4101D">
      <w:pPr>
        <w:spacing w:line="480" w:lineRule="auto"/>
        <w:rPr>
          <w:rFonts w:ascii="Century" w:hAnsi="Century"/>
          <w:szCs w:val="21"/>
        </w:rPr>
      </w:pPr>
      <w:r w:rsidRPr="00670390">
        <w:rPr>
          <w:rFonts w:ascii="Century" w:hAnsi="Century"/>
          <w:szCs w:val="21"/>
        </w:rPr>
        <w:t xml:space="preserve">GAPDH </w:t>
      </w:r>
      <w:proofErr w:type="spellStart"/>
      <w:r w:rsidRPr="00670390">
        <w:rPr>
          <w:rFonts w:ascii="Century" w:hAnsi="Century"/>
          <w:szCs w:val="21"/>
        </w:rPr>
        <w:t>fwd</w:t>
      </w:r>
      <w:proofErr w:type="gramStart"/>
      <w:r w:rsidRPr="00670390">
        <w:rPr>
          <w:rFonts w:ascii="Century" w:hAnsi="Century"/>
          <w:szCs w:val="21"/>
        </w:rPr>
        <w:t>:TGAACGGGAAGCTCACTGG</w:t>
      </w:r>
      <w:proofErr w:type="spellEnd"/>
      <w:proofErr w:type="gramEnd"/>
    </w:p>
    <w:p w14:paraId="6F03650B" w14:textId="77777777" w:rsidR="00B4101D" w:rsidRPr="00670390" w:rsidRDefault="00B4101D" w:rsidP="00B4101D">
      <w:pPr>
        <w:spacing w:line="480" w:lineRule="auto"/>
        <w:rPr>
          <w:rFonts w:ascii="Century" w:hAnsi="Century"/>
          <w:szCs w:val="21"/>
        </w:rPr>
      </w:pPr>
      <w:r w:rsidRPr="00670390">
        <w:rPr>
          <w:rFonts w:ascii="Century" w:hAnsi="Century"/>
          <w:szCs w:val="21"/>
        </w:rPr>
        <w:t xml:space="preserve">GAPDH </w:t>
      </w:r>
      <w:proofErr w:type="spellStart"/>
      <w:r w:rsidRPr="00670390">
        <w:rPr>
          <w:rFonts w:ascii="Century" w:hAnsi="Century"/>
          <w:szCs w:val="21"/>
        </w:rPr>
        <w:t>rev</w:t>
      </w:r>
      <w:proofErr w:type="gramStart"/>
      <w:r w:rsidRPr="00670390">
        <w:rPr>
          <w:rFonts w:ascii="Century" w:hAnsi="Century"/>
          <w:szCs w:val="21"/>
        </w:rPr>
        <w:t>:TCCACCACCCTGTTGCTGTA</w:t>
      </w:r>
      <w:proofErr w:type="spellEnd"/>
      <w:proofErr w:type="gramEnd"/>
    </w:p>
    <w:p w14:paraId="1432F4A4" w14:textId="77777777" w:rsidR="00D2242E" w:rsidRPr="00670390" w:rsidRDefault="00D2242E" w:rsidP="009F4BEC"/>
    <w:p w14:paraId="3F8C89F8" w14:textId="0FE4E68E" w:rsidR="005374EB" w:rsidRPr="00670390" w:rsidRDefault="005374EB" w:rsidP="009F4BEC">
      <w:pPr>
        <w:spacing w:line="480" w:lineRule="auto"/>
        <w:rPr>
          <w:rFonts w:ascii="Century" w:hAnsi="Century"/>
          <w:b/>
          <w:bCs/>
          <w:szCs w:val="21"/>
        </w:rPr>
      </w:pPr>
      <w:bookmarkStart w:id="2" w:name="_Hlk13801739"/>
      <w:r w:rsidRPr="00670390">
        <w:rPr>
          <w:rFonts w:ascii="Century" w:hAnsi="Century" w:hint="eastAsia"/>
          <w:b/>
          <w:bCs/>
          <w:szCs w:val="21"/>
        </w:rPr>
        <w:t>S</w:t>
      </w:r>
      <w:r w:rsidRPr="00670390">
        <w:rPr>
          <w:rFonts w:ascii="Century" w:hAnsi="Century"/>
          <w:b/>
          <w:bCs/>
          <w:szCs w:val="21"/>
        </w:rPr>
        <w:t>upplementary References</w:t>
      </w:r>
    </w:p>
    <w:p w14:paraId="6F095122" w14:textId="1B256D73" w:rsidR="00D60656" w:rsidRPr="00670390" w:rsidRDefault="00D60656" w:rsidP="00D60656">
      <w:pPr>
        <w:spacing w:line="480" w:lineRule="auto"/>
        <w:rPr>
          <w:rFonts w:ascii="Times New Roman" w:hAnsi="Times New Roman" w:cs="Times New Roman"/>
          <w:szCs w:val="21"/>
        </w:rPr>
      </w:pPr>
      <w:r w:rsidRPr="00670390">
        <w:rPr>
          <w:rFonts w:ascii="Times New Roman" w:hAnsi="Times New Roman" w:cs="Times New Roman"/>
          <w:szCs w:val="21"/>
        </w:rPr>
        <w:t xml:space="preserve">1.Ranieri E, </w:t>
      </w:r>
      <w:proofErr w:type="spellStart"/>
      <w:r w:rsidRPr="00670390">
        <w:rPr>
          <w:rFonts w:ascii="Times New Roman" w:hAnsi="Times New Roman" w:cs="Times New Roman"/>
          <w:szCs w:val="21"/>
        </w:rPr>
        <w:t>Popescu</w:t>
      </w:r>
      <w:proofErr w:type="spellEnd"/>
      <w:r w:rsidRPr="00670390">
        <w:rPr>
          <w:rFonts w:ascii="Times New Roman" w:hAnsi="Times New Roman" w:cs="Times New Roman"/>
          <w:szCs w:val="21"/>
        </w:rPr>
        <w:t xml:space="preserve"> I, </w:t>
      </w:r>
      <w:proofErr w:type="spellStart"/>
      <w:r w:rsidRPr="00670390">
        <w:rPr>
          <w:rFonts w:ascii="Times New Roman" w:hAnsi="Times New Roman" w:cs="Times New Roman"/>
          <w:szCs w:val="21"/>
        </w:rPr>
        <w:t>Gigante</w:t>
      </w:r>
      <w:proofErr w:type="spellEnd"/>
      <w:r w:rsidRPr="00670390">
        <w:rPr>
          <w:rFonts w:ascii="Times New Roman" w:hAnsi="Times New Roman" w:cs="Times New Roman"/>
          <w:szCs w:val="21"/>
        </w:rPr>
        <w:t xml:space="preserve"> M</w:t>
      </w:r>
      <w:r w:rsidR="0068730C" w:rsidRPr="00670390">
        <w:rPr>
          <w:rFonts w:ascii="Times New Roman" w:hAnsi="Times New Roman" w:cs="Times New Roman"/>
          <w:szCs w:val="21"/>
        </w:rPr>
        <w:t>.</w:t>
      </w:r>
      <w:r w:rsidRPr="00670390">
        <w:rPr>
          <w:rFonts w:ascii="Times New Roman" w:hAnsi="Times New Roman" w:cs="Times New Roman"/>
          <w:szCs w:val="21"/>
        </w:rPr>
        <w:t xml:space="preserve"> CTL ELISPOT assay. Methods Mol Biol</w:t>
      </w:r>
      <w:r w:rsidR="0068730C" w:rsidRPr="00670390">
        <w:rPr>
          <w:rFonts w:ascii="Times New Roman" w:hAnsi="Times New Roman" w:cs="Times New Roman" w:hint="eastAsia"/>
          <w:szCs w:val="21"/>
        </w:rPr>
        <w:t>.</w:t>
      </w:r>
      <w:r w:rsidR="0068730C" w:rsidRPr="00670390">
        <w:rPr>
          <w:rFonts w:ascii="Times New Roman" w:hAnsi="Times New Roman" w:cs="Times New Roman"/>
          <w:szCs w:val="21"/>
        </w:rPr>
        <w:t>2014</w:t>
      </w:r>
      <w:proofErr w:type="gramStart"/>
      <w:r w:rsidR="0068730C" w:rsidRPr="00670390">
        <w:rPr>
          <w:rFonts w:ascii="Times New Roman" w:hAnsi="Times New Roman" w:cs="Times New Roman"/>
          <w:szCs w:val="21"/>
        </w:rPr>
        <w:t>;</w:t>
      </w:r>
      <w:r w:rsidRPr="00670390">
        <w:rPr>
          <w:rFonts w:ascii="Times New Roman" w:hAnsi="Times New Roman" w:cs="Times New Roman"/>
          <w:szCs w:val="21"/>
        </w:rPr>
        <w:t>1186:75</w:t>
      </w:r>
      <w:proofErr w:type="gramEnd"/>
      <w:r w:rsidRPr="00670390">
        <w:rPr>
          <w:rFonts w:ascii="Times New Roman" w:hAnsi="Times New Roman" w:cs="Times New Roman"/>
          <w:szCs w:val="21"/>
        </w:rPr>
        <w:t>- 86</w:t>
      </w:r>
      <w:r w:rsidR="0068730C" w:rsidRPr="00670390">
        <w:rPr>
          <w:rFonts w:ascii="Times New Roman" w:hAnsi="Times New Roman" w:cs="Times New Roman"/>
          <w:szCs w:val="21"/>
        </w:rPr>
        <w:t>.</w:t>
      </w:r>
    </w:p>
    <w:p w14:paraId="537A7BF6" w14:textId="51301022" w:rsidR="00D60656" w:rsidRPr="00670390" w:rsidRDefault="00D60656" w:rsidP="00D60656">
      <w:pPr>
        <w:spacing w:line="480" w:lineRule="auto"/>
        <w:rPr>
          <w:rFonts w:ascii="Times New Roman" w:hAnsi="Times New Roman" w:cs="Times New Roman"/>
          <w:szCs w:val="21"/>
        </w:rPr>
      </w:pPr>
      <w:r w:rsidRPr="00670390">
        <w:rPr>
          <w:rFonts w:ascii="Times New Roman" w:hAnsi="Times New Roman" w:cs="Times New Roman"/>
          <w:szCs w:val="21"/>
        </w:rPr>
        <w:t xml:space="preserve">2.Shibao S, Ueda R, Saito K, Kikuchi R, Nagashima H, Kojima A, </w:t>
      </w:r>
      <w:proofErr w:type="spellStart"/>
      <w:r w:rsidRPr="00670390">
        <w:rPr>
          <w:rFonts w:ascii="Times New Roman" w:hAnsi="Times New Roman" w:cs="Times New Roman"/>
          <w:szCs w:val="21"/>
        </w:rPr>
        <w:t>Kagami</w:t>
      </w:r>
      <w:proofErr w:type="spellEnd"/>
      <w:r w:rsidRPr="00670390">
        <w:rPr>
          <w:rFonts w:ascii="Times New Roman" w:hAnsi="Times New Roman" w:cs="Times New Roman"/>
          <w:szCs w:val="21"/>
        </w:rPr>
        <w:t xml:space="preserve"> H, </w:t>
      </w:r>
      <w:proofErr w:type="spellStart"/>
      <w:r w:rsidRPr="00670390">
        <w:rPr>
          <w:rFonts w:ascii="Times New Roman" w:hAnsi="Times New Roman" w:cs="Times New Roman"/>
          <w:szCs w:val="21"/>
        </w:rPr>
        <w:t>Pareira</w:t>
      </w:r>
      <w:proofErr w:type="spellEnd"/>
      <w:r w:rsidRPr="00670390">
        <w:rPr>
          <w:rFonts w:ascii="Times New Roman" w:hAnsi="Times New Roman" w:cs="Times New Roman"/>
          <w:szCs w:val="21"/>
        </w:rPr>
        <w:t xml:space="preserve"> ES, Sasaki H, </w:t>
      </w:r>
      <w:proofErr w:type="spellStart"/>
      <w:r w:rsidRPr="00670390">
        <w:rPr>
          <w:rFonts w:ascii="Times New Roman" w:hAnsi="Times New Roman" w:cs="Times New Roman"/>
          <w:szCs w:val="21"/>
        </w:rPr>
        <w:t>Noji</w:t>
      </w:r>
      <w:proofErr w:type="spellEnd"/>
      <w:r w:rsidRPr="00670390">
        <w:rPr>
          <w:rFonts w:ascii="Times New Roman" w:hAnsi="Times New Roman" w:cs="Times New Roman"/>
          <w:szCs w:val="21"/>
        </w:rPr>
        <w:t xml:space="preserve"> S, Kawakami Y, Yoshida K, Toda M</w:t>
      </w:r>
      <w:r w:rsidR="0068730C" w:rsidRPr="00670390">
        <w:rPr>
          <w:rFonts w:ascii="Times New Roman" w:hAnsi="Times New Roman" w:cs="Times New Roman"/>
          <w:szCs w:val="21"/>
        </w:rPr>
        <w:t>.</w:t>
      </w:r>
      <w:r w:rsidRPr="00670390">
        <w:rPr>
          <w:rFonts w:ascii="Times New Roman" w:hAnsi="Times New Roman" w:cs="Times New Roman"/>
          <w:szCs w:val="21"/>
        </w:rPr>
        <w:t xml:space="preserve"> A pilot study of peptide vaccines for VEGF receptor 1 and 2 in patients with recurrent/progressive high grade glioma. Oncotarget.</w:t>
      </w:r>
      <w:r w:rsidR="0068730C" w:rsidRPr="00670390">
        <w:rPr>
          <w:rFonts w:ascii="Times New Roman" w:hAnsi="Times New Roman" w:cs="Times New Roman"/>
          <w:szCs w:val="21"/>
        </w:rPr>
        <w:t>2018;</w:t>
      </w:r>
      <w:r w:rsidRPr="00670390">
        <w:rPr>
          <w:rFonts w:ascii="Times New Roman" w:hAnsi="Times New Roman" w:cs="Times New Roman"/>
          <w:szCs w:val="21"/>
        </w:rPr>
        <w:t>9:21569- 21579</w:t>
      </w:r>
      <w:r w:rsidR="0068730C" w:rsidRPr="00670390">
        <w:rPr>
          <w:rFonts w:ascii="Times New Roman" w:hAnsi="Times New Roman" w:cs="Times New Roman"/>
          <w:szCs w:val="21"/>
        </w:rPr>
        <w:t>.</w:t>
      </w:r>
    </w:p>
    <w:p w14:paraId="3BE7C0FE" w14:textId="1165CC90" w:rsidR="00CE53AA" w:rsidRPr="00670390" w:rsidRDefault="00CE53AA" w:rsidP="00D60656">
      <w:pPr>
        <w:spacing w:line="480" w:lineRule="auto"/>
        <w:rPr>
          <w:rFonts w:ascii="Century" w:hAnsi="Century"/>
          <w:szCs w:val="21"/>
        </w:rPr>
      </w:pPr>
      <w:r w:rsidRPr="00670390">
        <w:rPr>
          <w:rFonts w:ascii="Century" w:hAnsi="Century"/>
          <w:szCs w:val="21"/>
        </w:rPr>
        <w:t>3.</w:t>
      </w:r>
      <w:r w:rsidRPr="00670390">
        <w:t xml:space="preserve"> </w:t>
      </w:r>
      <w:proofErr w:type="spellStart"/>
      <w:r w:rsidRPr="00670390">
        <w:rPr>
          <w:rFonts w:ascii="Century" w:hAnsi="Century"/>
          <w:szCs w:val="21"/>
        </w:rPr>
        <w:t>Kono</w:t>
      </w:r>
      <w:proofErr w:type="spellEnd"/>
      <w:r w:rsidRPr="00670390">
        <w:rPr>
          <w:rFonts w:ascii="Century" w:hAnsi="Century"/>
          <w:szCs w:val="21"/>
        </w:rPr>
        <w:t xml:space="preserve"> K, </w:t>
      </w:r>
      <w:proofErr w:type="spellStart"/>
      <w:r w:rsidRPr="00670390">
        <w:rPr>
          <w:rFonts w:ascii="Century" w:hAnsi="Century"/>
          <w:szCs w:val="21"/>
        </w:rPr>
        <w:t>Iinuma</w:t>
      </w:r>
      <w:proofErr w:type="spellEnd"/>
      <w:r w:rsidRPr="00670390">
        <w:rPr>
          <w:rFonts w:ascii="Century" w:hAnsi="Century"/>
          <w:szCs w:val="21"/>
        </w:rPr>
        <w:t xml:space="preserve"> H, </w:t>
      </w:r>
      <w:proofErr w:type="spellStart"/>
      <w:r w:rsidRPr="00670390">
        <w:rPr>
          <w:rFonts w:ascii="Century" w:hAnsi="Century"/>
          <w:szCs w:val="21"/>
        </w:rPr>
        <w:t>Akutsu</w:t>
      </w:r>
      <w:proofErr w:type="spellEnd"/>
      <w:r w:rsidRPr="00670390">
        <w:rPr>
          <w:rFonts w:ascii="Century" w:hAnsi="Century"/>
          <w:szCs w:val="21"/>
        </w:rPr>
        <w:t xml:space="preserve"> Y, Tanaka H, Hayashi N, </w:t>
      </w:r>
      <w:proofErr w:type="spellStart"/>
      <w:r w:rsidRPr="00670390">
        <w:rPr>
          <w:rFonts w:ascii="Century" w:hAnsi="Century"/>
          <w:szCs w:val="21"/>
        </w:rPr>
        <w:t>Uchikado</w:t>
      </w:r>
      <w:proofErr w:type="spellEnd"/>
      <w:r w:rsidRPr="00670390">
        <w:rPr>
          <w:rFonts w:ascii="Century" w:hAnsi="Century"/>
          <w:szCs w:val="21"/>
        </w:rPr>
        <w:t xml:space="preserve"> Y, Noguchi T, </w:t>
      </w:r>
      <w:proofErr w:type="spellStart"/>
      <w:r w:rsidRPr="00670390">
        <w:rPr>
          <w:rFonts w:ascii="Century" w:hAnsi="Century"/>
          <w:szCs w:val="21"/>
        </w:rPr>
        <w:t>Fujii</w:t>
      </w:r>
      <w:proofErr w:type="spellEnd"/>
      <w:r w:rsidRPr="00670390">
        <w:rPr>
          <w:rFonts w:ascii="Century" w:hAnsi="Century"/>
          <w:szCs w:val="21"/>
        </w:rPr>
        <w:t xml:space="preserve"> H, </w:t>
      </w:r>
      <w:proofErr w:type="spellStart"/>
      <w:r w:rsidRPr="00670390">
        <w:rPr>
          <w:rFonts w:ascii="Century" w:hAnsi="Century"/>
          <w:szCs w:val="21"/>
        </w:rPr>
        <w:t>Okinaka</w:t>
      </w:r>
      <w:proofErr w:type="spellEnd"/>
      <w:r w:rsidRPr="00670390">
        <w:rPr>
          <w:rFonts w:ascii="Century" w:hAnsi="Century"/>
          <w:szCs w:val="21"/>
        </w:rPr>
        <w:t xml:space="preserve"> K, Fukushima R, Matsubara H, </w:t>
      </w:r>
      <w:proofErr w:type="spellStart"/>
      <w:r w:rsidRPr="00670390">
        <w:rPr>
          <w:rFonts w:ascii="Century" w:hAnsi="Century"/>
          <w:szCs w:val="21"/>
        </w:rPr>
        <w:t>Ohira</w:t>
      </w:r>
      <w:proofErr w:type="spellEnd"/>
      <w:r w:rsidRPr="00670390">
        <w:rPr>
          <w:rFonts w:ascii="Century" w:hAnsi="Century"/>
          <w:szCs w:val="21"/>
        </w:rPr>
        <w:t xml:space="preserve"> M, Baba H, </w:t>
      </w:r>
      <w:proofErr w:type="spellStart"/>
      <w:r w:rsidRPr="00670390">
        <w:rPr>
          <w:rFonts w:ascii="Century" w:hAnsi="Century"/>
          <w:szCs w:val="21"/>
        </w:rPr>
        <w:t>Natsugoe</w:t>
      </w:r>
      <w:proofErr w:type="spellEnd"/>
      <w:r w:rsidRPr="00670390">
        <w:rPr>
          <w:rFonts w:ascii="Century" w:hAnsi="Century"/>
          <w:szCs w:val="21"/>
        </w:rPr>
        <w:t xml:space="preserve"> S, Kitano S, Takeda K, Yoshida K, </w:t>
      </w:r>
      <w:proofErr w:type="spellStart"/>
      <w:r w:rsidRPr="00670390">
        <w:rPr>
          <w:rFonts w:ascii="Century" w:hAnsi="Century"/>
          <w:szCs w:val="21"/>
        </w:rPr>
        <w:t>Tsunoda</w:t>
      </w:r>
      <w:proofErr w:type="spellEnd"/>
      <w:r w:rsidRPr="00670390">
        <w:rPr>
          <w:rFonts w:ascii="Century" w:hAnsi="Century"/>
          <w:szCs w:val="21"/>
        </w:rPr>
        <w:t xml:space="preserve"> T, Nakamura Y.</w:t>
      </w:r>
      <w:r w:rsidRPr="00670390">
        <w:t xml:space="preserve"> </w:t>
      </w:r>
      <w:r w:rsidRPr="00670390">
        <w:rPr>
          <w:rFonts w:ascii="Century" w:hAnsi="Century"/>
          <w:szCs w:val="21"/>
        </w:rPr>
        <w:t xml:space="preserve">Multicenter, phase II clinical trial of </w:t>
      </w:r>
      <w:r w:rsidRPr="00670390">
        <w:rPr>
          <w:rFonts w:ascii="Century" w:hAnsi="Century"/>
          <w:szCs w:val="21"/>
        </w:rPr>
        <w:lastRenderedPageBreak/>
        <w:t>cancer vaccination for advanced esophageal cancer with three peptides derived from novel cancer-testis antigens.</w:t>
      </w:r>
      <w:r w:rsidRPr="00670390">
        <w:t xml:space="preserve"> </w:t>
      </w:r>
      <w:r w:rsidRPr="00670390">
        <w:rPr>
          <w:rFonts w:ascii="Century" w:hAnsi="Century"/>
          <w:szCs w:val="21"/>
        </w:rPr>
        <w:t xml:space="preserve">J </w:t>
      </w:r>
      <w:proofErr w:type="spellStart"/>
      <w:r w:rsidRPr="00670390">
        <w:rPr>
          <w:rFonts w:ascii="Century" w:hAnsi="Century"/>
          <w:szCs w:val="21"/>
        </w:rPr>
        <w:t>Transl</w:t>
      </w:r>
      <w:proofErr w:type="spellEnd"/>
      <w:r w:rsidRPr="00670390">
        <w:rPr>
          <w:rFonts w:ascii="Century" w:hAnsi="Century"/>
          <w:szCs w:val="21"/>
        </w:rPr>
        <w:t xml:space="preserve"> Med. 2012</w:t>
      </w:r>
      <w:proofErr w:type="gramStart"/>
      <w:r w:rsidRPr="00670390">
        <w:rPr>
          <w:rFonts w:ascii="Century" w:hAnsi="Century"/>
          <w:szCs w:val="21"/>
        </w:rPr>
        <w:t>;10:141</w:t>
      </w:r>
      <w:proofErr w:type="gramEnd"/>
      <w:r w:rsidRPr="00670390">
        <w:rPr>
          <w:rFonts w:ascii="Century" w:hAnsi="Century"/>
          <w:szCs w:val="21"/>
        </w:rPr>
        <w:t>.</w:t>
      </w:r>
    </w:p>
    <w:p w14:paraId="1CF27AE4" w14:textId="12E2C059" w:rsidR="00D60656" w:rsidRPr="00670390" w:rsidRDefault="00CE53AA" w:rsidP="00D60656">
      <w:pPr>
        <w:spacing w:line="480" w:lineRule="auto"/>
        <w:rPr>
          <w:rFonts w:ascii="Century" w:hAnsi="Century"/>
          <w:szCs w:val="21"/>
        </w:rPr>
      </w:pPr>
      <w:r w:rsidRPr="00670390">
        <w:rPr>
          <w:rFonts w:ascii="Century" w:hAnsi="Century"/>
          <w:szCs w:val="21"/>
        </w:rPr>
        <w:t>4</w:t>
      </w:r>
      <w:r w:rsidR="00D60656" w:rsidRPr="00670390">
        <w:rPr>
          <w:rFonts w:ascii="Century" w:hAnsi="Century"/>
          <w:szCs w:val="21"/>
        </w:rPr>
        <w:t xml:space="preserve">.Hirose Y, </w:t>
      </w:r>
      <w:proofErr w:type="spellStart"/>
      <w:r w:rsidR="00D60656" w:rsidRPr="00670390">
        <w:rPr>
          <w:rFonts w:ascii="Century" w:hAnsi="Century"/>
          <w:szCs w:val="21"/>
        </w:rPr>
        <w:t>Aldape</w:t>
      </w:r>
      <w:proofErr w:type="spellEnd"/>
      <w:r w:rsidR="00D60656" w:rsidRPr="00670390">
        <w:rPr>
          <w:rFonts w:ascii="Century" w:hAnsi="Century"/>
          <w:szCs w:val="21"/>
        </w:rPr>
        <w:t xml:space="preserve"> K, Takahashi M, Berger MS, Feuerstein BG</w:t>
      </w:r>
      <w:r w:rsidR="0068730C" w:rsidRPr="00670390">
        <w:rPr>
          <w:rFonts w:ascii="Century" w:hAnsi="Century"/>
          <w:szCs w:val="21"/>
        </w:rPr>
        <w:t>.</w:t>
      </w:r>
      <w:r w:rsidR="00D60656" w:rsidRPr="00670390">
        <w:rPr>
          <w:rFonts w:ascii="Century" w:hAnsi="Century"/>
          <w:szCs w:val="21"/>
        </w:rPr>
        <w:t xml:space="preserve"> Tissue microdissection and degenerate oligonucleotide primed-polymerase chain reaction (DOP-PCR) is an effective method to analyze genetic aberrations in invasive tumors. J Mol Diagn.</w:t>
      </w:r>
      <w:r w:rsidR="0068730C" w:rsidRPr="00670390">
        <w:rPr>
          <w:rFonts w:ascii="Century" w:hAnsi="Century"/>
          <w:szCs w:val="21"/>
        </w:rPr>
        <w:t>2001;</w:t>
      </w:r>
      <w:r w:rsidR="00D60656" w:rsidRPr="00670390">
        <w:rPr>
          <w:rFonts w:ascii="Century" w:hAnsi="Century"/>
          <w:szCs w:val="21"/>
        </w:rPr>
        <w:t>3:62–67</w:t>
      </w:r>
      <w:r w:rsidR="0068730C" w:rsidRPr="00670390">
        <w:rPr>
          <w:rFonts w:ascii="Century" w:hAnsi="Century"/>
          <w:szCs w:val="21"/>
        </w:rPr>
        <w:t>.</w:t>
      </w:r>
      <w:r w:rsidR="00D60656" w:rsidRPr="00670390">
        <w:rPr>
          <w:rFonts w:ascii="Century" w:hAnsi="Century"/>
          <w:szCs w:val="21"/>
        </w:rPr>
        <w:t xml:space="preserve"> </w:t>
      </w:r>
    </w:p>
    <w:p w14:paraId="1D612D3C" w14:textId="5035340A" w:rsidR="00D60656" w:rsidRPr="00670390" w:rsidRDefault="00CE53AA" w:rsidP="00D60656">
      <w:pPr>
        <w:spacing w:line="480" w:lineRule="auto"/>
        <w:rPr>
          <w:rFonts w:ascii="Century" w:hAnsi="Century"/>
          <w:szCs w:val="21"/>
        </w:rPr>
      </w:pPr>
      <w:r w:rsidRPr="00670390">
        <w:rPr>
          <w:rFonts w:ascii="Century" w:hAnsi="Century"/>
          <w:szCs w:val="21"/>
        </w:rPr>
        <w:t>5</w:t>
      </w:r>
      <w:r w:rsidR="00D60656" w:rsidRPr="00670390">
        <w:rPr>
          <w:rFonts w:ascii="Century" w:hAnsi="Century"/>
          <w:szCs w:val="21"/>
        </w:rPr>
        <w:t>.Miwa T, Hirose Y, Sasaki H, Ezaki T, Yoshida K, Kawase T</w:t>
      </w:r>
      <w:r w:rsidR="0068730C" w:rsidRPr="00670390">
        <w:rPr>
          <w:rFonts w:ascii="Century" w:hAnsi="Century"/>
          <w:szCs w:val="21"/>
        </w:rPr>
        <w:t>.</w:t>
      </w:r>
      <w:r w:rsidR="00D60656" w:rsidRPr="00670390">
        <w:rPr>
          <w:rFonts w:ascii="Century" w:hAnsi="Century"/>
          <w:szCs w:val="21"/>
        </w:rPr>
        <w:t xml:space="preserve"> Single-copy gain of chromosome 1q is a negative prognostic marker in pediatric </w:t>
      </w:r>
      <w:proofErr w:type="spellStart"/>
      <w:r w:rsidR="00D60656" w:rsidRPr="00670390">
        <w:rPr>
          <w:rFonts w:ascii="Century" w:hAnsi="Century"/>
          <w:szCs w:val="21"/>
        </w:rPr>
        <w:t>nonependymal</w:t>
      </w:r>
      <w:proofErr w:type="spellEnd"/>
      <w:r w:rsidR="00D60656" w:rsidRPr="00670390">
        <w:rPr>
          <w:rFonts w:ascii="Century" w:hAnsi="Century"/>
          <w:szCs w:val="21"/>
        </w:rPr>
        <w:t xml:space="preserve">, </w:t>
      </w:r>
      <w:proofErr w:type="spellStart"/>
      <w:r w:rsidR="00D60656" w:rsidRPr="00670390">
        <w:rPr>
          <w:rFonts w:ascii="Century" w:hAnsi="Century"/>
          <w:szCs w:val="21"/>
        </w:rPr>
        <w:t>nonpilocytic</w:t>
      </w:r>
      <w:proofErr w:type="spellEnd"/>
      <w:r w:rsidR="00D60656" w:rsidRPr="00670390">
        <w:rPr>
          <w:rFonts w:ascii="Century" w:hAnsi="Century"/>
          <w:szCs w:val="21"/>
        </w:rPr>
        <w:t xml:space="preserve"> gliomas. Neurosurgery.</w:t>
      </w:r>
      <w:r w:rsidR="0068730C" w:rsidRPr="00670390">
        <w:rPr>
          <w:rFonts w:ascii="Century" w:hAnsi="Century"/>
          <w:szCs w:val="21"/>
        </w:rPr>
        <w:t>2011;</w:t>
      </w:r>
      <w:r w:rsidR="00D60656" w:rsidRPr="00670390">
        <w:rPr>
          <w:rFonts w:ascii="Century" w:hAnsi="Century"/>
          <w:szCs w:val="21"/>
        </w:rPr>
        <w:t>68:206-212</w:t>
      </w:r>
      <w:r w:rsidR="0068730C" w:rsidRPr="00670390">
        <w:rPr>
          <w:rFonts w:ascii="Century" w:hAnsi="Century"/>
          <w:szCs w:val="21"/>
        </w:rPr>
        <w:t>.</w:t>
      </w:r>
      <w:r w:rsidR="00D60656" w:rsidRPr="00670390">
        <w:rPr>
          <w:rFonts w:ascii="Century" w:hAnsi="Century"/>
          <w:szCs w:val="21"/>
        </w:rPr>
        <w:t xml:space="preserve"> </w:t>
      </w:r>
    </w:p>
    <w:p w14:paraId="34111750" w14:textId="1D256319" w:rsidR="00D60656" w:rsidRPr="00670390" w:rsidRDefault="00CE53AA" w:rsidP="00D60656">
      <w:pPr>
        <w:spacing w:line="480" w:lineRule="auto"/>
        <w:rPr>
          <w:rFonts w:ascii="Century" w:hAnsi="Century"/>
          <w:szCs w:val="21"/>
        </w:rPr>
      </w:pPr>
      <w:r w:rsidRPr="00670390">
        <w:rPr>
          <w:rFonts w:ascii="Century" w:hAnsi="Century"/>
          <w:szCs w:val="21"/>
        </w:rPr>
        <w:t>6</w:t>
      </w:r>
      <w:r w:rsidR="00D60656" w:rsidRPr="00670390">
        <w:rPr>
          <w:rFonts w:ascii="Century" w:hAnsi="Century"/>
          <w:szCs w:val="21"/>
        </w:rPr>
        <w:t xml:space="preserve">.Capper D, </w:t>
      </w:r>
      <w:proofErr w:type="spellStart"/>
      <w:r w:rsidR="00D60656" w:rsidRPr="00670390">
        <w:rPr>
          <w:rFonts w:ascii="Century" w:hAnsi="Century"/>
          <w:szCs w:val="21"/>
        </w:rPr>
        <w:t>Zentgraf</w:t>
      </w:r>
      <w:proofErr w:type="spellEnd"/>
      <w:r w:rsidR="00D60656" w:rsidRPr="00670390">
        <w:rPr>
          <w:rFonts w:ascii="Century" w:hAnsi="Century"/>
          <w:szCs w:val="21"/>
        </w:rPr>
        <w:t xml:space="preserve"> H, </w:t>
      </w:r>
      <w:proofErr w:type="spellStart"/>
      <w:r w:rsidR="00D60656" w:rsidRPr="00670390">
        <w:rPr>
          <w:rFonts w:ascii="Century" w:hAnsi="Century"/>
          <w:szCs w:val="21"/>
        </w:rPr>
        <w:t>Balss</w:t>
      </w:r>
      <w:proofErr w:type="spellEnd"/>
      <w:r w:rsidR="00D60656" w:rsidRPr="00670390">
        <w:rPr>
          <w:rFonts w:ascii="Century" w:hAnsi="Century"/>
          <w:szCs w:val="21"/>
        </w:rPr>
        <w:t xml:space="preserve"> J, Hartmann C, von </w:t>
      </w:r>
      <w:proofErr w:type="spellStart"/>
      <w:r w:rsidR="00D60656" w:rsidRPr="00670390">
        <w:rPr>
          <w:rFonts w:ascii="Century" w:hAnsi="Century"/>
          <w:szCs w:val="21"/>
        </w:rPr>
        <w:t>Deimling</w:t>
      </w:r>
      <w:proofErr w:type="spellEnd"/>
      <w:r w:rsidR="00D60656" w:rsidRPr="00670390">
        <w:rPr>
          <w:rFonts w:ascii="Century" w:hAnsi="Century"/>
          <w:szCs w:val="21"/>
        </w:rPr>
        <w:t xml:space="preserve"> A</w:t>
      </w:r>
      <w:r w:rsidR="0068730C" w:rsidRPr="00670390">
        <w:rPr>
          <w:rFonts w:ascii="Century" w:hAnsi="Century"/>
          <w:szCs w:val="21"/>
        </w:rPr>
        <w:t>.</w:t>
      </w:r>
      <w:r w:rsidR="00D60656" w:rsidRPr="00670390">
        <w:rPr>
          <w:rFonts w:ascii="Century" w:hAnsi="Century"/>
          <w:szCs w:val="21"/>
        </w:rPr>
        <w:t xml:space="preserve"> Monoclonal antibody specific for IDH1 R132H mutation. Acta Neuropathol.</w:t>
      </w:r>
      <w:r w:rsidR="0068730C" w:rsidRPr="00670390">
        <w:rPr>
          <w:rFonts w:ascii="Century" w:hAnsi="Century"/>
          <w:szCs w:val="21"/>
        </w:rPr>
        <w:t>2009;</w:t>
      </w:r>
      <w:r w:rsidR="00D60656" w:rsidRPr="00670390">
        <w:rPr>
          <w:rFonts w:ascii="Century" w:hAnsi="Century"/>
          <w:szCs w:val="21"/>
        </w:rPr>
        <w:t xml:space="preserve">118:599–601. </w:t>
      </w:r>
    </w:p>
    <w:p w14:paraId="0EB81A9A" w14:textId="3C8A4CD3" w:rsidR="00D60656" w:rsidRPr="00670390" w:rsidRDefault="00CE53AA" w:rsidP="00D60656">
      <w:pPr>
        <w:spacing w:line="480" w:lineRule="auto"/>
        <w:rPr>
          <w:rFonts w:ascii="Century" w:hAnsi="Century"/>
          <w:szCs w:val="21"/>
        </w:rPr>
      </w:pPr>
      <w:bookmarkStart w:id="3" w:name="_Hlk13761831"/>
      <w:r w:rsidRPr="00670390">
        <w:rPr>
          <w:rFonts w:ascii="Century" w:hAnsi="Century"/>
          <w:szCs w:val="21"/>
        </w:rPr>
        <w:t>7</w:t>
      </w:r>
      <w:r w:rsidR="00D60656" w:rsidRPr="00670390">
        <w:rPr>
          <w:rFonts w:ascii="Century" w:hAnsi="Century"/>
          <w:szCs w:val="21"/>
        </w:rPr>
        <w:t xml:space="preserve">.Boeckx C, </w:t>
      </w:r>
      <w:proofErr w:type="spellStart"/>
      <w:r w:rsidR="00D60656" w:rsidRPr="00670390">
        <w:rPr>
          <w:rFonts w:ascii="Century" w:hAnsi="Century"/>
          <w:szCs w:val="21"/>
        </w:rPr>
        <w:t>Wouters</w:t>
      </w:r>
      <w:proofErr w:type="spellEnd"/>
      <w:r w:rsidR="00D60656" w:rsidRPr="00670390">
        <w:rPr>
          <w:rFonts w:ascii="Century" w:hAnsi="Century"/>
          <w:szCs w:val="21"/>
        </w:rPr>
        <w:t xml:space="preserve"> A, </w:t>
      </w:r>
      <w:proofErr w:type="spellStart"/>
      <w:r w:rsidR="00D60656" w:rsidRPr="00670390">
        <w:rPr>
          <w:rFonts w:ascii="Century" w:hAnsi="Century"/>
          <w:szCs w:val="21"/>
        </w:rPr>
        <w:t>Pauwels</w:t>
      </w:r>
      <w:proofErr w:type="spellEnd"/>
      <w:r w:rsidR="00D60656" w:rsidRPr="00670390">
        <w:rPr>
          <w:rFonts w:ascii="Century" w:hAnsi="Century"/>
          <w:szCs w:val="21"/>
        </w:rPr>
        <w:t xml:space="preserve"> B, </w:t>
      </w:r>
      <w:proofErr w:type="spellStart"/>
      <w:r w:rsidR="00D60656" w:rsidRPr="00670390">
        <w:rPr>
          <w:rFonts w:ascii="Century" w:hAnsi="Century"/>
          <w:szCs w:val="21"/>
        </w:rPr>
        <w:t>Deschoolmeester</w:t>
      </w:r>
      <w:proofErr w:type="spellEnd"/>
      <w:r w:rsidR="00D60656" w:rsidRPr="00670390">
        <w:rPr>
          <w:rFonts w:ascii="Century" w:hAnsi="Century"/>
          <w:szCs w:val="21"/>
        </w:rPr>
        <w:t xml:space="preserve"> V, </w:t>
      </w:r>
      <w:proofErr w:type="spellStart"/>
      <w:r w:rsidR="00D60656" w:rsidRPr="00670390">
        <w:rPr>
          <w:rFonts w:ascii="Century" w:hAnsi="Century"/>
          <w:szCs w:val="21"/>
        </w:rPr>
        <w:t>Specenier</w:t>
      </w:r>
      <w:proofErr w:type="spellEnd"/>
      <w:r w:rsidR="00D60656" w:rsidRPr="00670390">
        <w:rPr>
          <w:rFonts w:ascii="Century" w:hAnsi="Century"/>
          <w:szCs w:val="21"/>
        </w:rPr>
        <w:t xml:space="preserve"> P, </w:t>
      </w:r>
      <w:proofErr w:type="spellStart"/>
      <w:r w:rsidR="00D60656" w:rsidRPr="00670390">
        <w:rPr>
          <w:rFonts w:ascii="Century" w:hAnsi="Century"/>
          <w:szCs w:val="21"/>
        </w:rPr>
        <w:t>Lukaszuk</w:t>
      </w:r>
      <w:proofErr w:type="spellEnd"/>
      <w:r w:rsidR="00D60656" w:rsidRPr="00670390">
        <w:rPr>
          <w:rFonts w:ascii="Century" w:hAnsi="Century"/>
          <w:szCs w:val="21"/>
        </w:rPr>
        <w:t xml:space="preserve"> K, </w:t>
      </w:r>
      <w:proofErr w:type="spellStart"/>
      <w:r w:rsidR="00D60656" w:rsidRPr="00670390">
        <w:rPr>
          <w:rFonts w:ascii="Century" w:hAnsi="Century"/>
          <w:szCs w:val="21"/>
        </w:rPr>
        <w:t>Vermorken</w:t>
      </w:r>
      <w:proofErr w:type="spellEnd"/>
      <w:r w:rsidR="00D60656" w:rsidRPr="00670390">
        <w:rPr>
          <w:rFonts w:ascii="Century" w:hAnsi="Century"/>
          <w:szCs w:val="21"/>
        </w:rPr>
        <w:t xml:space="preserve"> JB, </w:t>
      </w:r>
      <w:proofErr w:type="spellStart"/>
      <w:r w:rsidR="00D60656" w:rsidRPr="00670390">
        <w:rPr>
          <w:rFonts w:ascii="Century" w:hAnsi="Century"/>
          <w:szCs w:val="21"/>
        </w:rPr>
        <w:t>Pauwels</w:t>
      </w:r>
      <w:proofErr w:type="spellEnd"/>
      <w:r w:rsidR="00D60656" w:rsidRPr="00670390">
        <w:rPr>
          <w:rFonts w:ascii="Century" w:hAnsi="Century"/>
          <w:szCs w:val="21"/>
        </w:rPr>
        <w:t xml:space="preserve"> P, </w:t>
      </w:r>
      <w:proofErr w:type="spellStart"/>
      <w:r w:rsidR="00D60656" w:rsidRPr="00670390">
        <w:rPr>
          <w:rFonts w:ascii="Century" w:hAnsi="Century"/>
          <w:szCs w:val="21"/>
        </w:rPr>
        <w:t>Peeters</w:t>
      </w:r>
      <w:proofErr w:type="spellEnd"/>
      <w:r w:rsidR="00D60656" w:rsidRPr="00670390">
        <w:rPr>
          <w:rFonts w:ascii="Century" w:hAnsi="Century"/>
          <w:szCs w:val="21"/>
        </w:rPr>
        <w:t xml:space="preserve"> M, Lardon F, </w:t>
      </w:r>
      <w:proofErr w:type="spellStart"/>
      <w:r w:rsidR="00D60656" w:rsidRPr="00670390">
        <w:rPr>
          <w:rFonts w:ascii="Century" w:hAnsi="Century"/>
          <w:szCs w:val="21"/>
        </w:rPr>
        <w:t>Baay</w:t>
      </w:r>
      <w:proofErr w:type="spellEnd"/>
      <w:r w:rsidR="00D60656" w:rsidRPr="00670390">
        <w:rPr>
          <w:rFonts w:ascii="Century" w:hAnsi="Century"/>
          <w:szCs w:val="21"/>
        </w:rPr>
        <w:t xml:space="preserve"> MF</w:t>
      </w:r>
      <w:r w:rsidR="0068730C" w:rsidRPr="00670390">
        <w:rPr>
          <w:rFonts w:ascii="Century" w:hAnsi="Century"/>
          <w:szCs w:val="21"/>
        </w:rPr>
        <w:t>.</w:t>
      </w:r>
      <w:r w:rsidR="00D60656" w:rsidRPr="00670390">
        <w:rPr>
          <w:rFonts w:ascii="Century" w:hAnsi="Century"/>
          <w:szCs w:val="21"/>
        </w:rPr>
        <w:t xml:space="preserve"> Expression analysis on archival material: comparison of 5 commercially available RNA isolation kits for FFPE material. Diagn Mol Pathol.</w:t>
      </w:r>
      <w:r w:rsidR="0068730C" w:rsidRPr="00670390">
        <w:rPr>
          <w:rFonts w:ascii="Century" w:hAnsi="Century"/>
          <w:szCs w:val="21"/>
        </w:rPr>
        <w:t>2011;</w:t>
      </w:r>
      <w:r w:rsidR="00D60656" w:rsidRPr="00670390">
        <w:rPr>
          <w:rFonts w:ascii="Century" w:hAnsi="Century"/>
          <w:szCs w:val="21"/>
        </w:rPr>
        <w:t>20:203-211</w:t>
      </w:r>
      <w:r w:rsidR="0068730C" w:rsidRPr="00670390">
        <w:rPr>
          <w:rFonts w:ascii="Century" w:hAnsi="Century"/>
          <w:szCs w:val="21"/>
        </w:rPr>
        <w:t>.</w:t>
      </w:r>
    </w:p>
    <w:p w14:paraId="47E144CF" w14:textId="6C10A8B3" w:rsidR="00D60656" w:rsidRPr="00670390" w:rsidRDefault="00CE53AA" w:rsidP="00D60656">
      <w:pPr>
        <w:spacing w:line="480" w:lineRule="auto"/>
        <w:rPr>
          <w:rFonts w:ascii="Century" w:hAnsi="Century"/>
          <w:szCs w:val="21"/>
        </w:rPr>
      </w:pPr>
      <w:r w:rsidRPr="00670390">
        <w:rPr>
          <w:rFonts w:ascii="Century" w:hAnsi="Century"/>
          <w:szCs w:val="21"/>
        </w:rPr>
        <w:t>8</w:t>
      </w:r>
      <w:r w:rsidR="00D60656" w:rsidRPr="00670390">
        <w:rPr>
          <w:rFonts w:ascii="Century" w:hAnsi="Century"/>
          <w:szCs w:val="21"/>
        </w:rPr>
        <w:t xml:space="preserve">.Tamura R, Ohara K, Morimoto Y, </w:t>
      </w:r>
      <w:proofErr w:type="spellStart"/>
      <w:r w:rsidR="00D60656" w:rsidRPr="00670390">
        <w:rPr>
          <w:rFonts w:ascii="Century" w:hAnsi="Century"/>
          <w:szCs w:val="21"/>
        </w:rPr>
        <w:t>Kosugi</w:t>
      </w:r>
      <w:proofErr w:type="spellEnd"/>
      <w:r w:rsidR="00D60656" w:rsidRPr="00670390">
        <w:rPr>
          <w:rFonts w:ascii="Century" w:hAnsi="Century"/>
          <w:szCs w:val="21"/>
        </w:rPr>
        <w:t xml:space="preserve"> K, </w:t>
      </w:r>
      <w:proofErr w:type="spellStart"/>
      <w:r w:rsidR="00D60656" w:rsidRPr="00670390">
        <w:rPr>
          <w:rFonts w:ascii="Century" w:hAnsi="Century"/>
          <w:szCs w:val="21"/>
        </w:rPr>
        <w:t>Oishi</w:t>
      </w:r>
      <w:proofErr w:type="spellEnd"/>
      <w:r w:rsidR="00D60656" w:rsidRPr="00670390">
        <w:rPr>
          <w:rFonts w:ascii="Century" w:hAnsi="Century"/>
          <w:szCs w:val="21"/>
        </w:rPr>
        <w:t xml:space="preserve"> Y, Sato M, Yoshida K, Toda M</w:t>
      </w:r>
      <w:r w:rsidR="0068730C" w:rsidRPr="00670390">
        <w:rPr>
          <w:rFonts w:ascii="Century" w:hAnsi="Century"/>
          <w:szCs w:val="21"/>
        </w:rPr>
        <w:t xml:space="preserve">. </w:t>
      </w:r>
      <w:r w:rsidR="00D60656" w:rsidRPr="00670390">
        <w:rPr>
          <w:rFonts w:ascii="Century" w:hAnsi="Century"/>
          <w:szCs w:val="21"/>
        </w:rPr>
        <w:t>PITX2 Expression in Non-functional Pituitary Neuroendocrine Tumor with Cavernous Sinus Invasion.</w:t>
      </w:r>
      <w:r w:rsidR="00D60656" w:rsidRPr="00670390">
        <w:t xml:space="preserve"> </w:t>
      </w:r>
      <w:proofErr w:type="spellStart"/>
      <w:r w:rsidR="00D60656" w:rsidRPr="00670390">
        <w:rPr>
          <w:rFonts w:ascii="Century" w:hAnsi="Century"/>
          <w:szCs w:val="21"/>
        </w:rPr>
        <w:t>Endocr</w:t>
      </w:r>
      <w:proofErr w:type="spellEnd"/>
      <w:r w:rsidR="00D60656" w:rsidRPr="00670390">
        <w:rPr>
          <w:rFonts w:ascii="Century" w:hAnsi="Century"/>
          <w:szCs w:val="21"/>
        </w:rPr>
        <w:t xml:space="preserve"> Pathol.</w:t>
      </w:r>
      <w:r w:rsidR="0068730C" w:rsidRPr="00670390">
        <w:rPr>
          <w:rFonts w:ascii="Century" w:hAnsi="Century"/>
          <w:szCs w:val="21"/>
        </w:rPr>
        <w:t>2019;</w:t>
      </w:r>
      <w:r w:rsidR="00D60656" w:rsidRPr="00670390">
        <w:rPr>
          <w:rFonts w:ascii="Century" w:hAnsi="Century"/>
          <w:szCs w:val="21"/>
        </w:rPr>
        <w:t>30:81-89</w:t>
      </w:r>
      <w:r w:rsidR="0068730C" w:rsidRPr="00670390">
        <w:rPr>
          <w:rFonts w:ascii="Century" w:hAnsi="Century"/>
          <w:szCs w:val="21"/>
        </w:rPr>
        <w:t>.</w:t>
      </w:r>
    </w:p>
    <w:bookmarkEnd w:id="2"/>
    <w:bookmarkEnd w:id="3"/>
    <w:p w14:paraId="7F18893C" w14:textId="764FC3BD" w:rsidR="00A01F72" w:rsidRPr="00670390" w:rsidRDefault="00A01F72" w:rsidP="009F4BEC">
      <w:pPr>
        <w:spacing w:line="480" w:lineRule="auto"/>
        <w:rPr>
          <w:rFonts w:ascii="Century" w:hAnsi="Century"/>
          <w:szCs w:val="21"/>
        </w:rPr>
      </w:pPr>
    </w:p>
    <w:sectPr w:rsidR="00A01F72" w:rsidRPr="0067039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F6F561" w14:textId="77777777" w:rsidR="003D7C7B" w:rsidRDefault="003D7C7B" w:rsidP="000C1193">
      <w:r>
        <w:separator/>
      </w:r>
    </w:p>
  </w:endnote>
  <w:endnote w:type="continuationSeparator" w:id="0">
    <w:p w14:paraId="71E0EBEB" w14:textId="77777777" w:rsidR="003D7C7B" w:rsidRDefault="003D7C7B" w:rsidP="000C1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Yu Mincho">
    <w:altName w:val="MS Mincho"/>
    <w:charset w:val="80"/>
    <w:family w:val="roman"/>
    <w:pitch w:val="variable"/>
    <w:sig w:usb0="00000000" w:usb1="2AC7FCFF" w:usb2="00000012" w:usb3="00000000" w:csb0="0002009F" w:csb1="00000000"/>
  </w:font>
  <w:font w:name="Yu Gothic Light">
    <w:altName w:val="MS Gothic"/>
    <w:charset w:val="80"/>
    <w:family w:val="modern"/>
    <w:pitch w:val="variable"/>
    <w:sig w:usb0="00000000"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AB4E93" w14:textId="77777777" w:rsidR="003D7C7B" w:rsidRDefault="003D7C7B" w:rsidP="000C1193">
      <w:r>
        <w:separator/>
      </w:r>
    </w:p>
  </w:footnote>
  <w:footnote w:type="continuationSeparator" w:id="0">
    <w:p w14:paraId="4CFB209F" w14:textId="77777777" w:rsidR="003D7C7B" w:rsidRDefault="003D7C7B" w:rsidP="000C11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A1405"/>
    <w:multiLevelType w:val="hybridMultilevel"/>
    <w:tmpl w:val="47588A1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F0E"/>
    <w:rsid w:val="0002640B"/>
    <w:rsid w:val="00091DBD"/>
    <w:rsid w:val="000A5FE0"/>
    <w:rsid w:val="000A7992"/>
    <w:rsid w:val="000C1193"/>
    <w:rsid w:val="000D547C"/>
    <w:rsid w:val="001228CE"/>
    <w:rsid w:val="00181E40"/>
    <w:rsid w:val="002412BC"/>
    <w:rsid w:val="0024774D"/>
    <w:rsid w:val="002701B8"/>
    <w:rsid w:val="003057A4"/>
    <w:rsid w:val="00360E04"/>
    <w:rsid w:val="00380F4A"/>
    <w:rsid w:val="003D7C7B"/>
    <w:rsid w:val="00401B62"/>
    <w:rsid w:val="00401D6C"/>
    <w:rsid w:val="0049015D"/>
    <w:rsid w:val="004D3774"/>
    <w:rsid w:val="005374EB"/>
    <w:rsid w:val="005D419A"/>
    <w:rsid w:val="005D6BC7"/>
    <w:rsid w:val="00645B29"/>
    <w:rsid w:val="00670390"/>
    <w:rsid w:val="006710CF"/>
    <w:rsid w:val="00681271"/>
    <w:rsid w:val="0068730C"/>
    <w:rsid w:val="00695AEA"/>
    <w:rsid w:val="00743BFF"/>
    <w:rsid w:val="0075782D"/>
    <w:rsid w:val="007C3B1D"/>
    <w:rsid w:val="007C4041"/>
    <w:rsid w:val="007F2E8D"/>
    <w:rsid w:val="00802B1A"/>
    <w:rsid w:val="00806EC0"/>
    <w:rsid w:val="00857844"/>
    <w:rsid w:val="00861C57"/>
    <w:rsid w:val="00874C51"/>
    <w:rsid w:val="008A592D"/>
    <w:rsid w:val="008B0959"/>
    <w:rsid w:val="008B72F2"/>
    <w:rsid w:val="008D1B5E"/>
    <w:rsid w:val="00982899"/>
    <w:rsid w:val="009F4BEC"/>
    <w:rsid w:val="00A01F72"/>
    <w:rsid w:val="00A43F60"/>
    <w:rsid w:val="00A76181"/>
    <w:rsid w:val="00B4101D"/>
    <w:rsid w:val="00B64956"/>
    <w:rsid w:val="00BF6D7C"/>
    <w:rsid w:val="00C17FC9"/>
    <w:rsid w:val="00C74843"/>
    <w:rsid w:val="00CB1F0E"/>
    <w:rsid w:val="00CE53AA"/>
    <w:rsid w:val="00D2242E"/>
    <w:rsid w:val="00D60656"/>
    <w:rsid w:val="00DC5D79"/>
    <w:rsid w:val="00DE3E62"/>
    <w:rsid w:val="00DF4B7C"/>
    <w:rsid w:val="00E15925"/>
    <w:rsid w:val="00EA471D"/>
    <w:rsid w:val="00F376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F8D9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BE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B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BEC"/>
    <w:pPr>
      <w:ind w:leftChars="400" w:left="840"/>
    </w:pPr>
  </w:style>
  <w:style w:type="paragraph" w:styleId="Header">
    <w:name w:val="header"/>
    <w:basedOn w:val="Normal"/>
    <w:link w:val="HeaderChar"/>
    <w:uiPriority w:val="99"/>
    <w:unhideWhenUsed/>
    <w:rsid w:val="000C1193"/>
    <w:pPr>
      <w:tabs>
        <w:tab w:val="center" w:pos="4252"/>
        <w:tab w:val="right" w:pos="8504"/>
      </w:tabs>
      <w:snapToGrid w:val="0"/>
    </w:pPr>
  </w:style>
  <w:style w:type="character" w:customStyle="1" w:styleId="HeaderChar">
    <w:name w:val="Header Char"/>
    <w:basedOn w:val="DefaultParagraphFont"/>
    <w:link w:val="Header"/>
    <w:uiPriority w:val="99"/>
    <w:rsid w:val="000C1193"/>
  </w:style>
  <w:style w:type="paragraph" w:styleId="Footer">
    <w:name w:val="footer"/>
    <w:basedOn w:val="Normal"/>
    <w:link w:val="FooterChar"/>
    <w:uiPriority w:val="99"/>
    <w:unhideWhenUsed/>
    <w:rsid w:val="000C1193"/>
    <w:pPr>
      <w:tabs>
        <w:tab w:val="center" w:pos="4252"/>
        <w:tab w:val="right" w:pos="8504"/>
      </w:tabs>
      <w:snapToGrid w:val="0"/>
    </w:pPr>
  </w:style>
  <w:style w:type="character" w:customStyle="1" w:styleId="FooterChar">
    <w:name w:val="Footer Char"/>
    <w:basedOn w:val="DefaultParagraphFont"/>
    <w:link w:val="Footer"/>
    <w:uiPriority w:val="99"/>
    <w:rsid w:val="000C1193"/>
  </w:style>
  <w:style w:type="paragraph" w:styleId="BalloonText">
    <w:name w:val="Balloon Text"/>
    <w:basedOn w:val="Normal"/>
    <w:link w:val="BalloonTextChar"/>
    <w:uiPriority w:val="99"/>
    <w:semiHidden/>
    <w:unhideWhenUsed/>
    <w:rsid w:val="008B0959"/>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B0959"/>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BE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B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BEC"/>
    <w:pPr>
      <w:ind w:leftChars="400" w:left="840"/>
    </w:pPr>
  </w:style>
  <w:style w:type="paragraph" w:styleId="Header">
    <w:name w:val="header"/>
    <w:basedOn w:val="Normal"/>
    <w:link w:val="HeaderChar"/>
    <w:uiPriority w:val="99"/>
    <w:unhideWhenUsed/>
    <w:rsid w:val="000C1193"/>
    <w:pPr>
      <w:tabs>
        <w:tab w:val="center" w:pos="4252"/>
        <w:tab w:val="right" w:pos="8504"/>
      </w:tabs>
      <w:snapToGrid w:val="0"/>
    </w:pPr>
  </w:style>
  <w:style w:type="character" w:customStyle="1" w:styleId="HeaderChar">
    <w:name w:val="Header Char"/>
    <w:basedOn w:val="DefaultParagraphFont"/>
    <w:link w:val="Header"/>
    <w:uiPriority w:val="99"/>
    <w:rsid w:val="000C1193"/>
  </w:style>
  <w:style w:type="paragraph" w:styleId="Footer">
    <w:name w:val="footer"/>
    <w:basedOn w:val="Normal"/>
    <w:link w:val="FooterChar"/>
    <w:uiPriority w:val="99"/>
    <w:unhideWhenUsed/>
    <w:rsid w:val="000C1193"/>
    <w:pPr>
      <w:tabs>
        <w:tab w:val="center" w:pos="4252"/>
        <w:tab w:val="right" w:pos="8504"/>
      </w:tabs>
      <w:snapToGrid w:val="0"/>
    </w:pPr>
  </w:style>
  <w:style w:type="character" w:customStyle="1" w:styleId="FooterChar">
    <w:name w:val="Footer Char"/>
    <w:basedOn w:val="DefaultParagraphFont"/>
    <w:link w:val="Footer"/>
    <w:uiPriority w:val="99"/>
    <w:rsid w:val="000C1193"/>
  </w:style>
  <w:style w:type="paragraph" w:styleId="BalloonText">
    <w:name w:val="Balloon Text"/>
    <w:basedOn w:val="Normal"/>
    <w:link w:val="BalloonTextChar"/>
    <w:uiPriority w:val="99"/>
    <w:semiHidden/>
    <w:unhideWhenUsed/>
    <w:rsid w:val="008B0959"/>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B095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86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9</Pages>
  <Words>1355</Words>
  <Characters>7728</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田村 亮太</dc:creator>
  <cp:keywords/>
  <dc:description/>
  <cp:lastModifiedBy>von Gruenwaldt, Werner</cp:lastModifiedBy>
  <cp:revision>46</cp:revision>
  <dcterms:created xsi:type="dcterms:W3CDTF">2018-10-06T11:03:00Z</dcterms:created>
  <dcterms:modified xsi:type="dcterms:W3CDTF">2020-02-20T08:30:00Z</dcterms:modified>
</cp:coreProperties>
</file>