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2A1B35" w14:textId="78B9CB1D" w:rsidR="00804173" w:rsidRPr="00D11D53" w:rsidRDefault="00804173" w:rsidP="007C017D">
      <w:pPr>
        <w:spacing w:after="0" w:line="240" w:lineRule="auto"/>
        <w:ind w:left="-284"/>
        <w:rPr>
          <w:rFonts w:ascii="Times New Roman" w:hAnsi="Times New Roman"/>
          <w:sz w:val="20"/>
          <w:szCs w:val="20"/>
          <w:lang w:val="en-US"/>
        </w:rPr>
      </w:pPr>
      <w:r w:rsidRPr="00AF770A">
        <w:rPr>
          <w:rFonts w:ascii="Times New Roman" w:hAnsi="Times New Roman"/>
          <w:b/>
          <w:sz w:val="20"/>
          <w:szCs w:val="20"/>
          <w:lang w:val="en-US"/>
        </w:rPr>
        <w:t xml:space="preserve">Table </w:t>
      </w:r>
      <w:r w:rsidR="003369CD">
        <w:rPr>
          <w:rFonts w:ascii="Times New Roman" w:hAnsi="Times New Roman"/>
          <w:b/>
          <w:sz w:val="20"/>
          <w:szCs w:val="20"/>
          <w:lang w:val="en-US"/>
        </w:rPr>
        <w:t>S12</w:t>
      </w:r>
      <w:bookmarkStart w:id="0" w:name="_GoBack"/>
      <w:bookmarkEnd w:id="0"/>
      <w:r w:rsidRPr="00AF770A">
        <w:rPr>
          <w:rFonts w:ascii="Times New Roman" w:hAnsi="Times New Roman"/>
          <w:b/>
          <w:sz w:val="20"/>
          <w:szCs w:val="20"/>
          <w:lang w:val="en-US"/>
        </w:rPr>
        <w:t>.</w:t>
      </w:r>
      <w:r w:rsidRPr="00D11D53">
        <w:rPr>
          <w:rFonts w:ascii="Times New Roman" w:hAnsi="Times New Roman"/>
          <w:sz w:val="20"/>
          <w:szCs w:val="20"/>
          <w:lang w:val="en-US"/>
        </w:rPr>
        <w:t xml:space="preserve"> Top 10 biological process of</w:t>
      </w:r>
      <w:r w:rsidR="00B92DC0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D11D53">
        <w:rPr>
          <w:rFonts w:ascii="Times New Roman" w:hAnsi="Times New Roman"/>
          <w:color w:val="000000"/>
          <w:sz w:val="20"/>
          <w:szCs w:val="20"/>
          <w:lang w:val="en-US"/>
        </w:rPr>
        <w:t>DEGs</w:t>
      </w:r>
      <w:r w:rsidR="00B92DC0">
        <w:rPr>
          <w:rFonts w:ascii="Times New Roman" w:hAnsi="Times New Roman"/>
          <w:color w:val="000000"/>
          <w:sz w:val="20"/>
          <w:szCs w:val="20"/>
          <w:lang w:val="en-US"/>
        </w:rPr>
        <w:t xml:space="preserve"> </w:t>
      </w:r>
      <w:r w:rsidRPr="00D11D53">
        <w:rPr>
          <w:rFonts w:ascii="Times New Roman" w:hAnsi="Times New Roman"/>
          <w:sz w:val="20"/>
          <w:szCs w:val="20"/>
          <w:lang w:val="en-US"/>
        </w:rPr>
        <w:t xml:space="preserve">between </w:t>
      </w:r>
      <w:proofErr w:type="spellStart"/>
      <w:r w:rsidRPr="00D11D53">
        <w:rPr>
          <w:rFonts w:ascii="Times New Roman" w:hAnsi="Times New Roman"/>
          <w:sz w:val="20"/>
          <w:szCs w:val="20"/>
          <w:lang w:val="en-US"/>
        </w:rPr>
        <w:t>DCIS</w:t>
      </w:r>
      <w:r w:rsidRPr="00D11D53">
        <w:rPr>
          <w:rFonts w:ascii="Times New Roman" w:hAnsi="Times New Roman"/>
          <w:sz w:val="20"/>
          <w:szCs w:val="20"/>
          <w:vertAlign w:val="subscript"/>
          <w:lang w:val="en-US"/>
        </w:rPr>
        <w:t>comp</w:t>
      </w:r>
      <w:proofErr w:type="spellEnd"/>
      <w:r w:rsidRPr="00D11D53">
        <w:rPr>
          <w:rFonts w:ascii="Times New Roman" w:hAnsi="Times New Roman"/>
          <w:sz w:val="20"/>
          <w:szCs w:val="20"/>
          <w:lang w:val="en-US"/>
        </w:rPr>
        <w:t xml:space="preserve"> and </w:t>
      </w:r>
      <w:proofErr w:type="spellStart"/>
      <w:r w:rsidRPr="00D11D53">
        <w:rPr>
          <w:rFonts w:ascii="Times New Roman" w:hAnsi="Times New Roman"/>
          <w:sz w:val="20"/>
          <w:szCs w:val="20"/>
          <w:lang w:val="en-US"/>
        </w:rPr>
        <w:t>DCIS</w:t>
      </w:r>
      <w:r w:rsidRPr="00D11D53">
        <w:rPr>
          <w:rFonts w:ascii="Times New Roman" w:hAnsi="Times New Roman"/>
          <w:sz w:val="20"/>
          <w:szCs w:val="20"/>
          <w:vertAlign w:val="subscript"/>
          <w:lang w:val="en-US"/>
        </w:rPr>
        <w:t>pure</w:t>
      </w:r>
      <w:proofErr w:type="spellEnd"/>
      <w:r w:rsidRPr="00D11D53">
        <w:rPr>
          <w:rFonts w:ascii="Times New Roman" w:hAnsi="Times New Roman"/>
          <w:sz w:val="20"/>
          <w:szCs w:val="20"/>
          <w:lang w:val="en-US"/>
        </w:rPr>
        <w:t xml:space="preserve"> and comparisons with control tissue</w:t>
      </w:r>
      <w:r w:rsidR="007C017D">
        <w:rPr>
          <w:rFonts w:ascii="Times New Roman" w:hAnsi="Times New Roman"/>
          <w:sz w:val="20"/>
          <w:szCs w:val="20"/>
          <w:lang w:val="en-US"/>
        </w:rPr>
        <w:t>.</w:t>
      </w:r>
      <w:r w:rsidR="007C017D" w:rsidRPr="00D11D53">
        <w:rPr>
          <w:rFonts w:ascii="Times New Roman" w:hAnsi="Times New Roman"/>
          <w:sz w:val="20"/>
          <w:szCs w:val="20"/>
          <w:lang w:val="en-US"/>
        </w:rPr>
        <w:t xml:space="preserve"> </w:t>
      </w:r>
    </w:p>
    <w:tbl>
      <w:tblPr>
        <w:tblpPr w:leftFromText="141" w:rightFromText="141" w:vertAnchor="page" w:horzAnchor="margin" w:tblpXSpec="center" w:tblpY="2146"/>
        <w:tblW w:w="9039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016"/>
        <w:gridCol w:w="1949"/>
        <w:gridCol w:w="1074"/>
      </w:tblGrid>
      <w:tr w:rsidR="00804173" w:rsidRPr="00C463CC" w14:paraId="205CCC4D" w14:textId="77777777" w:rsidTr="0064691A">
        <w:trPr>
          <w:trHeight w:val="410"/>
        </w:trPr>
        <w:tc>
          <w:tcPr>
            <w:tcW w:w="9039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290E1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pure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comp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DEGs</w:t>
            </w:r>
          </w:p>
        </w:tc>
      </w:tr>
      <w:tr w:rsidR="00804173" w:rsidRPr="00C463CC" w14:paraId="6CFC17BB" w14:textId="77777777" w:rsidTr="0064691A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6612B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Biological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Process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9A7521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Genes in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database</w:t>
            </w:r>
            <w:proofErr w:type="spellEnd"/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8C49E8" w14:textId="77777777" w:rsidR="00804173" w:rsidRPr="007A33D9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value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Ht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  <w:r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a</w:t>
            </w:r>
          </w:p>
        </w:tc>
      </w:tr>
      <w:tr w:rsidR="00804173" w:rsidRPr="00C463CC" w14:paraId="54BB67B3" w14:textId="77777777" w:rsidTr="0064691A">
        <w:trPr>
          <w:trHeight w:val="378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274198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Extracellular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matrix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organization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0C23FB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FGF2, LAMC3, IBSP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CD442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2,59E-05</w:t>
            </w:r>
          </w:p>
        </w:tc>
      </w:tr>
      <w:tr w:rsidR="00804173" w:rsidRPr="00C463CC" w14:paraId="2C0711F6" w14:textId="77777777" w:rsidTr="0064691A">
        <w:tc>
          <w:tcPr>
            <w:tcW w:w="0" w:type="auto"/>
            <w:shd w:val="clear" w:color="auto" w:fill="auto"/>
            <w:vAlign w:val="center"/>
          </w:tcPr>
          <w:p w14:paraId="34862355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Regulation of angiogenesis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063D89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FGF2, 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F737974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4,37E-05</w:t>
            </w:r>
          </w:p>
        </w:tc>
      </w:tr>
      <w:tr w:rsidR="00804173" w:rsidRPr="00C463CC" w14:paraId="63ABFDDA" w14:textId="77777777" w:rsidTr="0064691A">
        <w:trPr>
          <w:trHeight w:val="200"/>
        </w:trPr>
        <w:tc>
          <w:tcPr>
            <w:tcW w:w="0" w:type="auto"/>
            <w:shd w:val="clear" w:color="auto" w:fill="auto"/>
            <w:vAlign w:val="center"/>
          </w:tcPr>
          <w:p w14:paraId="2648D466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Cellular response to growth factor stimulus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9123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IBSP, SFRP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E0C948F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8,87E-05</w:t>
            </w:r>
          </w:p>
        </w:tc>
      </w:tr>
      <w:tr w:rsidR="00804173" w:rsidRPr="00C463CC" w14:paraId="35EBB9FB" w14:textId="77777777" w:rsidTr="0064691A">
        <w:trPr>
          <w:trHeight w:val="162"/>
        </w:trPr>
        <w:tc>
          <w:tcPr>
            <w:tcW w:w="0" w:type="auto"/>
            <w:shd w:val="clear" w:color="auto" w:fill="auto"/>
            <w:vAlign w:val="center"/>
          </w:tcPr>
          <w:p w14:paraId="58366E1C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Somatic stem cell maintenance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2B00D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FGF2, 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BCB00D4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1,88E-04</w:t>
            </w:r>
          </w:p>
        </w:tc>
      </w:tr>
      <w:tr w:rsidR="00804173" w:rsidRPr="00C463CC" w14:paraId="2637F846" w14:textId="77777777" w:rsidTr="0064691A">
        <w:tc>
          <w:tcPr>
            <w:tcW w:w="0" w:type="auto"/>
            <w:shd w:val="clear" w:color="auto" w:fill="auto"/>
            <w:vAlign w:val="center"/>
          </w:tcPr>
          <w:p w14:paraId="2F4A9A7E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Growth factor dependent regulation of satellite cell proliferation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15921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FGF2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293412B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22D213E5" w14:textId="77777777" w:rsidTr="0064691A">
        <w:tc>
          <w:tcPr>
            <w:tcW w:w="0" w:type="auto"/>
            <w:shd w:val="clear" w:color="auto" w:fill="auto"/>
            <w:vAlign w:val="center"/>
          </w:tcPr>
          <w:p w14:paraId="4C3C4D40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Positive regulation of cell fate specification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6C7674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FGF2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C0910B1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52EEEDFA" w14:textId="77777777" w:rsidTr="0064691A">
        <w:tc>
          <w:tcPr>
            <w:tcW w:w="0" w:type="auto"/>
            <w:shd w:val="clear" w:color="auto" w:fill="auto"/>
            <w:vAlign w:val="center"/>
          </w:tcPr>
          <w:p w14:paraId="7051F781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Stromal-epithelial cell signaling involved in prostate gland development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90FC5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3C2E2FDC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648F0148" w14:textId="77777777" w:rsidTr="0064691A">
        <w:tc>
          <w:tcPr>
            <w:tcW w:w="0" w:type="auto"/>
            <w:shd w:val="clear" w:color="auto" w:fill="auto"/>
            <w:vAlign w:val="center"/>
          </w:tcPr>
          <w:p w14:paraId="332C6E9B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Convergent extension involved in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somitogenesis</w:t>
            </w:r>
            <w:proofErr w:type="spellEnd"/>
          </w:p>
        </w:tc>
        <w:tc>
          <w:tcPr>
            <w:tcW w:w="0" w:type="auto"/>
            <w:shd w:val="clear" w:color="auto" w:fill="auto"/>
            <w:vAlign w:val="center"/>
          </w:tcPr>
          <w:p w14:paraId="4A9C0188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DF39459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00BA9433" w14:textId="77777777" w:rsidTr="0064691A">
        <w:tc>
          <w:tcPr>
            <w:tcW w:w="0" w:type="auto"/>
            <w:shd w:val="clear" w:color="auto" w:fill="auto"/>
            <w:vAlign w:val="center"/>
          </w:tcPr>
          <w:p w14:paraId="5D311706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Negative regulation of canonical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Wnt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receptor signaling pathway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4D224A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D2933F2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2A7DC6DE" w14:textId="77777777" w:rsidTr="0064691A">
        <w:trPr>
          <w:trHeight w:val="183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40E5F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Osteoblast differentiation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37FB93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IBSP, SFRP1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BB0A1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4,69E-04</w:t>
            </w:r>
          </w:p>
        </w:tc>
      </w:tr>
      <w:tr w:rsidR="00804173" w:rsidRPr="003369CD" w14:paraId="41872415" w14:textId="77777777" w:rsidTr="0064691A">
        <w:trPr>
          <w:trHeight w:val="489"/>
        </w:trPr>
        <w:tc>
          <w:tcPr>
            <w:tcW w:w="9039" w:type="dxa"/>
            <w:gridSpan w:val="3"/>
            <w:shd w:val="clear" w:color="auto" w:fill="auto"/>
            <w:vAlign w:val="center"/>
          </w:tcPr>
          <w:p w14:paraId="3642F393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pure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vs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comp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DEGs, excluding control vs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comp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and control vs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pure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DEGs</w:t>
            </w:r>
          </w:p>
        </w:tc>
      </w:tr>
      <w:tr w:rsidR="00804173" w:rsidRPr="00C463CC" w14:paraId="461B221B" w14:textId="77777777" w:rsidTr="0064691A">
        <w:trPr>
          <w:trHeight w:val="48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01B55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Biological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Process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A586AF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Genes in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database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2CDCB1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value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Ht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804173" w:rsidRPr="00C463CC" w14:paraId="4847FE15" w14:textId="77777777" w:rsidTr="0064691A">
        <w:trPr>
          <w:trHeight w:val="199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9F83B4E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Extracellular matrix organization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07DC7A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LAMC3, IBSP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FA2168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3,62E-04</w:t>
            </w:r>
          </w:p>
        </w:tc>
      </w:tr>
      <w:tr w:rsidR="00804173" w:rsidRPr="00C463CC" w14:paraId="7E64727B" w14:textId="77777777" w:rsidTr="0064691A">
        <w:trPr>
          <w:trHeight w:val="240"/>
        </w:trPr>
        <w:tc>
          <w:tcPr>
            <w:tcW w:w="0" w:type="auto"/>
            <w:shd w:val="clear" w:color="auto" w:fill="auto"/>
            <w:vAlign w:val="center"/>
          </w:tcPr>
          <w:p w14:paraId="0CEB43D3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Cell morphogenesis involved in differentiation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95A11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LAMC3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F52967F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6,73E-04</w:t>
            </w:r>
          </w:p>
        </w:tc>
      </w:tr>
      <w:tr w:rsidR="00804173" w:rsidRPr="00C463CC" w14:paraId="729D55B3" w14:textId="77777777" w:rsidTr="0064691A">
        <w:trPr>
          <w:trHeight w:val="145"/>
        </w:trPr>
        <w:tc>
          <w:tcPr>
            <w:tcW w:w="0" w:type="auto"/>
            <w:shd w:val="clear" w:color="auto" w:fill="auto"/>
            <w:vAlign w:val="center"/>
          </w:tcPr>
          <w:p w14:paraId="6E88CB8C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Cell adhesion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F5A53C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LAMC3, IBSP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3AD0AD83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2,00E-03</w:t>
            </w:r>
          </w:p>
        </w:tc>
      </w:tr>
      <w:tr w:rsidR="00804173" w:rsidRPr="00C463CC" w14:paraId="737335D0" w14:textId="77777777" w:rsidTr="0064691A">
        <w:trPr>
          <w:trHeight w:val="177"/>
        </w:trPr>
        <w:tc>
          <w:tcPr>
            <w:tcW w:w="0" w:type="auto"/>
            <w:shd w:val="clear" w:color="auto" w:fill="auto"/>
            <w:vAlign w:val="center"/>
          </w:tcPr>
          <w:p w14:paraId="18EDAF70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Astrocyte development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701574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LAMC3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3F4051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2,86E-03</w:t>
            </w:r>
          </w:p>
        </w:tc>
      </w:tr>
      <w:tr w:rsidR="00804173" w:rsidRPr="00C463CC" w14:paraId="068C1928" w14:textId="77777777" w:rsidTr="0064691A">
        <w:trPr>
          <w:trHeight w:val="209"/>
        </w:trPr>
        <w:tc>
          <w:tcPr>
            <w:tcW w:w="0" w:type="auto"/>
            <w:shd w:val="clear" w:color="auto" w:fill="auto"/>
            <w:vAlign w:val="center"/>
          </w:tcPr>
          <w:p w14:paraId="25E46845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Stress-activated MAPK cascade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80F4B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MAP3K8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C38B532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4,54E-03</w:t>
            </w:r>
          </w:p>
        </w:tc>
      </w:tr>
      <w:tr w:rsidR="00804173" w:rsidRPr="00C463CC" w14:paraId="1CA5CE68" w14:textId="77777777" w:rsidTr="0064691A">
        <w:trPr>
          <w:trHeight w:val="255"/>
        </w:trPr>
        <w:tc>
          <w:tcPr>
            <w:tcW w:w="0" w:type="auto"/>
            <w:shd w:val="clear" w:color="auto" w:fill="auto"/>
            <w:vAlign w:val="center"/>
          </w:tcPr>
          <w:p w14:paraId="47ADCCC7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Bone mineralization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95BF7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IBSP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8DE2107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6,04E-03</w:t>
            </w:r>
          </w:p>
        </w:tc>
      </w:tr>
      <w:tr w:rsidR="00804173" w:rsidRPr="00C463CC" w14:paraId="4F93D063" w14:textId="77777777" w:rsidTr="0064691A">
        <w:trPr>
          <w:trHeight w:val="286"/>
        </w:trPr>
        <w:tc>
          <w:tcPr>
            <w:tcW w:w="0" w:type="auto"/>
            <w:shd w:val="clear" w:color="auto" w:fill="auto"/>
            <w:vAlign w:val="center"/>
          </w:tcPr>
          <w:p w14:paraId="1FEC1C7D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Positive regulation of cell adhesion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0D9D6F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IBSP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655D83B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7,22E-03</w:t>
            </w:r>
          </w:p>
        </w:tc>
      </w:tr>
      <w:tr w:rsidR="00804173" w:rsidRPr="00C463CC" w14:paraId="2FB2FD89" w14:textId="77777777" w:rsidTr="0064691A">
        <w:trPr>
          <w:trHeight w:val="149"/>
        </w:trPr>
        <w:tc>
          <w:tcPr>
            <w:tcW w:w="0" w:type="auto"/>
            <w:shd w:val="clear" w:color="auto" w:fill="auto"/>
            <w:vAlign w:val="center"/>
          </w:tcPr>
          <w:p w14:paraId="74AE40ED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Cellular response to growth factor stimulus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FDB191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IBSP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E91F00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7,38E-03</w:t>
            </w:r>
          </w:p>
        </w:tc>
      </w:tr>
      <w:tr w:rsidR="00804173" w:rsidRPr="00C463CC" w14:paraId="453D6B85" w14:textId="77777777" w:rsidTr="0064691A">
        <w:trPr>
          <w:trHeight w:val="125"/>
        </w:trPr>
        <w:tc>
          <w:tcPr>
            <w:tcW w:w="0" w:type="auto"/>
            <w:shd w:val="clear" w:color="auto" w:fill="auto"/>
            <w:vAlign w:val="center"/>
          </w:tcPr>
          <w:p w14:paraId="00B5504F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Activation of MAPKK activity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D68A84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MAP3K8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F8CBD0D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8,22E-03</w:t>
            </w:r>
          </w:p>
        </w:tc>
      </w:tr>
      <w:tr w:rsidR="00804173" w:rsidRPr="00C463CC" w14:paraId="639D7DD0" w14:textId="77777777" w:rsidTr="0064691A">
        <w:trPr>
          <w:trHeight w:val="213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52B850" w14:textId="77777777" w:rsidR="00804173" w:rsidRPr="00E10670" w:rsidRDefault="00804173" w:rsidP="0064691A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Stress-activated protein kinase signaling cascade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BD9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MAP3K8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70C3F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8,56E-03</w:t>
            </w:r>
          </w:p>
        </w:tc>
      </w:tr>
      <w:tr w:rsidR="00804173" w:rsidRPr="003369CD" w14:paraId="454BEE9C" w14:textId="77777777" w:rsidTr="0064691A">
        <w:trPr>
          <w:trHeight w:val="489"/>
        </w:trPr>
        <w:tc>
          <w:tcPr>
            <w:tcW w:w="9039" w:type="dxa"/>
            <w:gridSpan w:val="3"/>
            <w:shd w:val="clear" w:color="auto" w:fill="auto"/>
            <w:vAlign w:val="center"/>
          </w:tcPr>
          <w:p w14:paraId="2BF085DB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pure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vs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comp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DEGs, including control vs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comp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and excluding control vs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DCIS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>pure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  <w:vertAlign w:val="subscript"/>
                <w:lang w:val="en-US"/>
              </w:rPr>
              <w:t xml:space="preserve"> </w:t>
            </w:r>
            <w:r w:rsidRPr="00E10670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DEGs</w:t>
            </w:r>
          </w:p>
        </w:tc>
      </w:tr>
      <w:tr w:rsidR="00804173" w:rsidRPr="00C463CC" w14:paraId="520F9C13" w14:textId="77777777" w:rsidTr="0064691A">
        <w:trPr>
          <w:trHeight w:val="369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DBE87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Biological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Process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52EB13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Genes in 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database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113448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p</w:t>
            </w:r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value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 xml:space="preserve"> (</w:t>
            </w:r>
            <w:proofErr w:type="spellStart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Ht</w:t>
            </w:r>
            <w:proofErr w:type="spellEnd"/>
            <w:r w:rsidRPr="00E10670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</w:tr>
      <w:tr w:rsidR="00804173" w:rsidRPr="00C463CC" w14:paraId="39C7B5FA" w14:textId="77777777" w:rsidTr="0064691A">
        <w:trPr>
          <w:trHeight w:val="162"/>
        </w:trPr>
        <w:tc>
          <w:tcPr>
            <w:tcW w:w="60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E370BA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Regulation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of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angiogenesis</w:t>
            </w:r>
            <w:proofErr w:type="spellEnd"/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6851A9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FGF2, SFRP1</w:t>
            </w:r>
          </w:p>
        </w:tc>
        <w:tc>
          <w:tcPr>
            <w:tcW w:w="10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117BD1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8,76E-06</w:t>
            </w:r>
          </w:p>
        </w:tc>
      </w:tr>
      <w:tr w:rsidR="00804173" w:rsidRPr="00C463CC" w14:paraId="7F94FAA2" w14:textId="77777777" w:rsidTr="0064691A">
        <w:trPr>
          <w:trHeight w:val="209"/>
        </w:trPr>
        <w:tc>
          <w:tcPr>
            <w:tcW w:w="6016" w:type="dxa"/>
            <w:shd w:val="clear" w:color="auto" w:fill="auto"/>
            <w:vAlign w:val="center"/>
          </w:tcPr>
          <w:p w14:paraId="3D9D0260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Somatic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stem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cell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</w:rPr>
              <w:t>maintenance</w:t>
            </w:r>
            <w:proofErr w:type="spellEnd"/>
          </w:p>
        </w:tc>
        <w:tc>
          <w:tcPr>
            <w:tcW w:w="1949" w:type="dxa"/>
            <w:shd w:val="clear" w:color="auto" w:fill="auto"/>
            <w:vAlign w:val="center"/>
          </w:tcPr>
          <w:p w14:paraId="4B70FA1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FGF2, 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836F655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3,79E-05</w:t>
            </w:r>
          </w:p>
        </w:tc>
      </w:tr>
      <w:tr w:rsidR="00804173" w:rsidRPr="00C463CC" w14:paraId="644F00F5" w14:textId="77777777" w:rsidTr="0064691A">
        <w:trPr>
          <w:trHeight w:val="255"/>
        </w:trPr>
        <w:tc>
          <w:tcPr>
            <w:tcW w:w="6016" w:type="dxa"/>
            <w:shd w:val="clear" w:color="auto" w:fill="auto"/>
            <w:vAlign w:val="center"/>
          </w:tcPr>
          <w:p w14:paraId="11601E4D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Growth factor dependent regulation of satellite cell proliferation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2F7736C8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FGF2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B7D631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1,68E-04</w:t>
            </w:r>
          </w:p>
        </w:tc>
      </w:tr>
      <w:tr w:rsidR="00804173" w:rsidRPr="00C463CC" w14:paraId="34EB9654" w14:textId="77777777" w:rsidTr="0064691A">
        <w:trPr>
          <w:trHeight w:val="273"/>
        </w:trPr>
        <w:tc>
          <w:tcPr>
            <w:tcW w:w="6016" w:type="dxa"/>
            <w:shd w:val="clear" w:color="auto" w:fill="auto"/>
            <w:vAlign w:val="center"/>
          </w:tcPr>
          <w:p w14:paraId="45E49929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Positive regulation of cell fate specification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6DD491C8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FGF2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EE9A85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1,68E-04</w:t>
            </w:r>
          </w:p>
        </w:tc>
      </w:tr>
      <w:tr w:rsidR="00804173" w:rsidRPr="00C463CC" w14:paraId="2E2EB197" w14:textId="77777777" w:rsidTr="0064691A">
        <w:trPr>
          <w:trHeight w:val="291"/>
        </w:trPr>
        <w:tc>
          <w:tcPr>
            <w:tcW w:w="6016" w:type="dxa"/>
            <w:shd w:val="clear" w:color="auto" w:fill="auto"/>
            <w:vAlign w:val="center"/>
          </w:tcPr>
          <w:p w14:paraId="4CF2D900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Stromal-epithelial cell signaling involved in prostate gland development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1B7BAF97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30BFE7B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1,68E-04</w:t>
            </w:r>
          </w:p>
        </w:tc>
      </w:tr>
      <w:tr w:rsidR="00804173" w:rsidRPr="00C463CC" w14:paraId="54C49CFD" w14:textId="77777777" w:rsidTr="0064691A">
        <w:trPr>
          <w:trHeight w:val="281"/>
        </w:trPr>
        <w:tc>
          <w:tcPr>
            <w:tcW w:w="6016" w:type="dxa"/>
            <w:shd w:val="clear" w:color="auto" w:fill="auto"/>
            <w:vAlign w:val="center"/>
          </w:tcPr>
          <w:p w14:paraId="505FBFE7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Convergent extension involved in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somitogenesis</w:t>
            </w:r>
            <w:proofErr w:type="spellEnd"/>
          </w:p>
        </w:tc>
        <w:tc>
          <w:tcPr>
            <w:tcW w:w="1949" w:type="dxa"/>
            <w:shd w:val="clear" w:color="auto" w:fill="auto"/>
            <w:vAlign w:val="center"/>
          </w:tcPr>
          <w:p w14:paraId="0451D6CA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2A9BD0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1,68E-04</w:t>
            </w:r>
          </w:p>
        </w:tc>
      </w:tr>
      <w:tr w:rsidR="00804173" w:rsidRPr="00C463CC" w14:paraId="5D0D3D01" w14:textId="77777777" w:rsidTr="0064691A">
        <w:trPr>
          <w:trHeight w:val="489"/>
        </w:trPr>
        <w:tc>
          <w:tcPr>
            <w:tcW w:w="6016" w:type="dxa"/>
            <w:shd w:val="clear" w:color="auto" w:fill="auto"/>
            <w:vAlign w:val="center"/>
          </w:tcPr>
          <w:p w14:paraId="15C776A5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Negative regulation of canonical </w:t>
            </w:r>
            <w:proofErr w:type="spellStart"/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Wnt</w:t>
            </w:r>
            <w:proofErr w:type="spellEnd"/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receptor signaling pathway involved in controlling type B pancreatic cell proliferation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201F5E87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6E7A1890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1,68E-04</w:t>
            </w:r>
          </w:p>
        </w:tc>
      </w:tr>
      <w:tr w:rsidR="00804173" w:rsidRPr="00C463CC" w14:paraId="486ABD15" w14:textId="77777777" w:rsidTr="0064691A">
        <w:trPr>
          <w:trHeight w:val="221"/>
        </w:trPr>
        <w:tc>
          <w:tcPr>
            <w:tcW w:w="6016" w:type="dxa"/>
            <w:shd w:val="clear" w:color="auto" w:fill="auto"/>
            <w:vAlign w:val="center"/>
          </w:tcPr>
          <w:p w14:paraId="5FEA3065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Negative regulation of bone remodeling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364F7526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14E0035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0EBD735E" w14:textId="77777777" w:rsidTr="0064691A">
        <w:trPr>
          <w:trHeight w:val="267"/>
        </w:trPr>
        <w:tc>
          <w:tcPr>
            <w:tcW w:w="6016" w:type="dxa"/>
            <w:shd w:val="clear" w:color="auto" w:fill="auto"/>
            <w:vAlign w:val="center"/>
          </w:tcPr>
          <w:p w14:paraId="41E4A193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E10670">
              <w:rPr>
                <w:rFonts w:ascii="Times New Roman" w:hAnsi="Times New Roman"/>
                <w:sz w:val="20"/>
                <w:szCs w:val="20"/>
                <w:lang w:val="en-US"/>
              </w:rPr>
              <w:t>Neural crest cell fate commitment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7B176129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AF75D27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  <w:tr w:rsidR="00804173" w:rsidRPr="00C463CC" w14:paraId="52ADB9B1" w14:textId="77777777" w:rsidTr="0064691A">
        <w:trPr>
          <w:trHeight w:val="203"/>
        </w:trPr>
        <w:tc>
          <w:tcPr>
            <w:tcW w:w="6016" w:type="dxa"/>
            <w:shd w:val="clear" w:color="auto" w:fill="auto"/>
            <w:vAlign w:val="center"/>
          </w:tcPr>
          <w:p w14:paraId="14FF9A98" w14:textId="77777777" w:rsidR="00804173" w:rsidRPr="00E10670" w:rsidRDefault="00804173" w:rsidP="0064691A">
            <w:pPr>
              <w:ind w:right="34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GO:1904956</w:t>
            </w:r>
          </w:p>
        </w:tc>
        <w:tc>
          <w:tcPr>
            <w:tcW w:w="1949" w:type="dxa"/>
            <w:shd w:val="clear" w:color="auto" w:fill="auto"/>
            <w:vAlign w:val="center"/>
          </w:tcPr>
          <w:p w14:paraId="2CDA6A99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10670">
              <w:rPr>
                <w:rFonts w:ascii="Times New Roman" w:hAnsi="Times New Roman"/>
                <w:i/>
                <w:sz w:val="20"/>
                <w:szCs w:val="20"/>
              </w:rPr>
              <w:t>SFRP1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52383DF5" w14:textId="77777777" w:rsidR="00804173" w:rsidRPr="00E10670" w:rsidRDefault="00804173" w:rsidP="006469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0670">
              <w:rPr>
                <w:rFonts w:ascii="Times New Roman" w:hAnsi="Times New Roman"/>
                <w:sz w:val="20"/>
                <w:szCs w:val="20"/>
              </w:rPr>
              <w:t>3,36E-04</w:t>
            </w:r>
          </w:p>
        </w:tc>
      </w:tr>
    </w:tbl>
    <w:p w14:paraId="6DB9A566" w14:textId="19511574" w:rsidR="00804173" w:rsidRDefault="00804173" w:rsidP="007C017D">
      <w:pPr>
        <w:spacing w:after="0" w:line="240" w:lineRule="auto"/>
        <w:ind w:hanging="284"/>
        <w:rPr>
          <w:rFonts w:ascii="Times New Roman" w:hAnsi="Times New Roman"/>
          <w:bCs/>
          <w:sz w:val="20"/>
          <w:szCs w:val="20"/>
          <w:lang w:val="en-US"/>
        </w:rPr>
      </w:pPr>
      <w:proofErr w:type="spellStart"/>
      <w:r w:rsidRPr="00C463CC">
        <w:rPr>
          <w:rFonts w:ascii="Times New Roman" w:hAnsi="Times New Roman"/>
          <w:bCs/>
          <w:sz w:val="20"/>
          <w:szCs w:val="20"/>
          <w:lang w:val="en-US"/>
        </w:rPr>
        <w:t>Ht</w:t>
      </w:r>
      <w:proofErr w:type="spellEnd"/>
      <w:r w:rsidRPr="00C463CC">
        <w:rPr>
          <w:rFonts w:ascii="Times New Roman" w:hAnsi="Times New Roman"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bCs/>
          <w:sz w:val="20"/>
          <w:szCs w:val="20"/>
          <w:lang w:val="en-US"/>
        </w:rPr>
        <w:t xml:space="preserve">- </w:t>
      </w:r>
      <w:r w:rsidR="007C017D">
        <w:rPr>
          <w:rFonts w:ascii="Times New Roman" w:hAnsi="Times New Roman"/>
          <w:bCs/>
          <w:sz w:val="20"/>
          <w:szCs w:val="20"/>
          <w:lang w:val="en-US"/>
        </w:rPr>
        <w:t>h</w:t>
      </w:r>
      <w:r>
        <w:rPr>
          <w:rFonts w:ascii="Times New Roman" w:hAnsi="Times New Roman"/>
          <w:bCs/>
          <w:sz w:val="20"/>
          <w:szCs w:val="20"/>
          <w:lang w:val="en-US"/>
        </w:rPr>
        <w:t>ypergeometric tes</w:t>
      </w:r>
      <w:r w:rsidR="007C017D">
        <w:rPr>
          <w:rFonts w:ascii="Times New Roman" w:hAnsi="Times New Roman"/>
          <w:bCs/>
          <w:sz w:val="20"/>
          <w:szCs w:val="20"/>
          <w:lang w:val="en-US"/>
        </w:rPr>
        <w:t>t.</w:t>
      </w:r>
    </w:p>
    <w:p w14:paraId="77E0721F" w14:textId="33B1DABC" w:rsidR="00B92DC0" w:rsidRDefault="00B92DC0" w:rsidP="007C017D">
      <w:pPr>
        <w:spacing w:after="0" w:line="240" w:lineRule="auto"/>
        <w:ind w:hanging="284"/>
        <w:rPr>
          <w:rFonts w:ascii="Times New Roman" w:hAnsi="Times New Roman"/>
          <w:bCs/>
          <w:sz w:val="20"/>
          <w:szCs w:val="20"/>
          <w:lang w:val="en-US"/>
        </w:rPr>
      </w:pPr>
      <w:r>
        <w:rPr>
          <w:rFonts w:ascii="Times New Roman" w:hAnsi="Times New Roman"/>
          <w:color w:val="000000"/>
          <w:sz w:val="20"/>
          <w:szCs w:val="20"/>
          <w:lang w:val="en-US"/>
        </w:rPr>
        <w:t xml:space="preserve">DEGs - </w:t>
      </w:r>
      <w:r w:rsidR="007C017D">
        <w:rPr>
          <w:rFonts w:ascii="Times New Roman" w:hAnsi="Times New Roman"/>
          <w:color w:val="000000"/>
          <w:sz w:val="20"/>
          <w:szCs w:val="20"/>
          <w:lang w:val="en-US"/>
        </w:rPr>
        <w:t>d</w:t>
      </w:r>
      <w:r w:rsidRPr="00D11D53">
        <w:rPr>
          <w:rFonts w:ascii="Times New Roman" w:hAnsi="Times New Roman"/>
          <w:color w:val="000000"/>
          <w:sz w:val="20"/>
          <w:szCs w:val="20"/>
          <w:lang w:val="en-US"/>
        </w:rPr>
        <w:t>ifferentially expressed genes</w:t>
      </w:r>
      <w:r w:rsidR="007C017D">
        <w:rPr>
          <w:rFonts w:ascii="Times New Roman" w:hAnsi="Times New Roman"/>
          <w:color w:val="000000"/>
          <w:sz w:val="20"/>
          <w:szCs w:val="20"/>
          <w:lang w:val="en-US"/>
        </w:rPr>
        <w:t>.</w:t>
      </w:r>
      <w:r w:rsidRPr="00D11D53">
        <w:rPr>
          <w:rFonts w:ascii="Times New Roman" w:hAnsi="Times New Roman"/>
          <w:color w:val="000000"/>
          <w:sz w:val="20"/>
          <w:szCs w:val="20"/>
          <w:lang w:val="en-US"/>
        </w:rPr>
        <w:t xml:space="preserve"> </w:t>
      </w:r>
    </w:p>
    <w:p w14:paraId="1FCAB5F0" w14:textId="294413A1" w:rsidR="00B92DC0" w:rsidRDefault="00B92DC0" w:rsidP="007C017D">
      <w:pPr>
        <w:spacing w:after="0" w:line="240" w:lineRule="auto"/>
        <w:ind w:hanging="284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D11D53">
        <w:rPr>
          <w:rFonts w:ascii="Times New Roman" w:hAnsi="Times New Roman"/>
          <w:sz w:val="20"/>
          <w:szCs w:val="20"/>
          <w:lang w:val="en-US"/>
        </w:rPr>
        <w:t>DCIS</w:t>
      </w:r>
      <w:r w:rsidRPr="00D11D53">
        <w:rPr>
          <w:rFonts w:ascii="Times New Roman" w:hAnsi="Times New Roman"/>
          <w:sz w:val="20"/>
          <w:szCs w:val="20"/>
          <w:vertAlign w:val="subscript"/>
          <w:lang w:val="en-US"/>
        </w:rPr>
        <w:t>comp</w:t>
      </w:r>
      <w:proofErr w:type="spellEnd"/>
      <w:r w:rsidRPr="00D11D53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- </w:t>
      </w:r>
      <w:r w:rsidRPr="00D11D53">
        <w:rPr>
          <w:rFonts w:ascii="Times New Roman" w:hAnsi="Times New Roman"/>
          <w:sz w:val="20"/>
          <w:szCs w:val="20"/>
          <w:lang w:val="en-US"/>
        </w:rPr>
        <w:t>DCIS as component</w:t>
      </w:r>
      <w:r w:rsidR="007C017D">
        <w:rPr>
          <w:rFonts w:ascii="Times New Roman" w:hAnsi="Times New Roman"/>
          <w:sz w:val="20"/>
          <w:szCs w:val="20"/>
          <w:lang w:val="en-US"/>
        </w:rPr>
        <w:t>.</w:t>
      </w:r>
      <w:r w:rsidRPr="00D11D53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5E2A9B0A" w14:textId="72B873EC" w:rsidR="00B92DC0" w:rsidRPr="00B92DC0" w:rsidRDefault="00B92DC0" w:rsidP="007C017D">
      <w:pPr>
        <w:spacing w:after="0" w:line="240" w:lineRule="auto"/>
        <w:ind w:hanging="284"/>
        <w:rPr>
          <w:rFonts w:ascii="Times New Roman" w:hAnsi="Times New Roman"/>
          <w:bCs/>
          <w:sz w:val="20"/>
          <w:szCs w:val="20"/>
          <w:lang w:val="en-US"/>
        </w:rPr>
      </w:pPr>
      <w:proofErr w:type="spellStart"/>
      <w:r w:rsidRPr="00D11D53">
        <w:rPr>
          <w:rFonts w:ascii="Times New Roman" w:hAnsi="Times New Roman"/>
          <w:sz w:val="20"/>
          <w:szCs w:val="20"/>
          <w:lang w:val="en-US"/>
        </w:rPr>
        <w:t>DCIS</w:t>
      </w:r>
      <w:r w:rsidRPr="00D11D53">
        <w:rPr>
          <w:rFonts w:ascii="Times New Roman" w:hAnsi="Times New Roman"/>
          <w:sz w:val="20"/>
          <w:szCs w:val="20"/>
          <w:vertAlign w:val="subscript"/>
          <w:lang w:val="en-US"/>
        </w:rPr>
        <w:t>pure</w:t>
      </w:r>
      <w:proofErr w:type="spellEnd"/>
      <w:r w:rsidRPr="00D11D53">
        <w:rPr>
          <w:rFonts w:ascii="Times New Roman" w:hAnsi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/>
          <w:sz w:val="20"/>
          <w:szCs w:val="20"/>
          <w:lang w:val="en-US"/>
        </w:rPr>
        <w:t xml:space="preserve">- </w:t>
      </w:r>
      <w:r w:rsidRPr="00D11D53">
        <w:rPr>
          <w:rFonts w:ascii="Times New Roman" w:hAnsi="Times New Roman"/>
          <w:sz w:val="20"/>
          <w:szCs w:val="20"/>
          <w:lang w:val="en-US"/>
        </w:rPr>
        <w:t>pure DCIS</w:t>
      </w:r>
      <w:r w:rsidR="007C017D">
        <w:rPr>
          <w:rFonts w:ascii="Times New Roman" w:hAnsi="Times New Roman"/>
          <w:sz w:val="20"/>
          <w:szCs w:val="20"/>
          <w:lang w:val="en-US"/>
        </w:rPr>
        <w:t>.</w:t>
      </w:r>
      <w:r w:rsidRPr="00D11D53">
        <w:rPr>
          <w:rFonts w:ascii="Times New Roman" w:hAnsi="Times New Roman"/>
          <w:sz w:val="20"/>
          <w:szCs w:val="20"/>
          <w:lang w:val="en-US"/>
        </w:rPr>
        <w:t xml:space="preserve"> </w:t>
      </w:r>
    </w:p>
    <w:sectPr w:rsidR="00B92DC0" w:rsidRPr="00B92D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173"/>
    <w:rsid w:val="003369CD"/>
    <w:rsid w:val="00384FF0"/>
    <w:rsid w:val="007C017D"/>
    <w:rsid w:val="00804173"/>
    <w:rsid w:val="00892484"/>
    <w:rsid w:val="00941B3A"/>
    <w:rsid w:val="00B92DC0"/>
    <w:rsid w:val="00DC3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0212C"/>
  <w15:chartTrackingRefBased/>
  <w15:docId w15:val="{0A3DEB3A-7636-44AD-9935-6EB0DD259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17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LabBioCel</dc:creator>
  <cp:keywords/>
  <dc:description/>
  <cp:lastModifiedBy>LabBioCel</cp:lastModifiedBy>
  <cp:revision>2</cp:revision>
  <dcterms:created xsi:type="dcterms:W3CDTF">2020-01-22T16:00:00Z</dcterms:created>
  <dcterms:modified xsi:type="dcterms:W3CDTF">2020-01-22T16:00:00Z</dcterms:modified>
</cp:coreProperties>
</file>