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3A2C5" w14:textId="77777777" w:rsidR="00DD57F0" w:rsidRDefault="00DD57F0" w:rsidP="00DD57F0">
      <w:pPr>
        <w:pStyle w:val="Heading4"/>
      </w:pPr>
      <w:bookmarkStart w:id="0" w:name="_Toc30682681"/>
      <w:bookmarkStart w:id="1" w:name="_Hlk31798687"/>
      <w:r w:rsidRPr="001E21A8">
        <w:t xml:space="preserve">Supplementary Figure </w:t>
      </w:r>
      <w:r>
        <w:t>1</w:t>
      </w:r>
      <w:bookmarkEnd w:id="1"/>
      <w:r>
        <w:t xml:space="preserve">. </w:t>
      </w:r>
      <w:r w:rsidRPr="001E21A8">
        <w:t>Immunoassay Procedure</w:t>
      </w:r>
      <w:r>
        <w:t>.</w:t>
      </w:r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6"/>
        <w:gridCol w:w="2334"/>
      </w:tblGrid>
      <w:tr w:rsidR="00DD57F0" w14:paraId="5375A0F2" w14:textId="77777777" w:rsidTr="001A31C3">
        <w:tc>
          <w:tcPr>
            <w:tcW w:w="3299" w:type="pct"/>
          </w:tcPr>
          <w:p w14:paraId="5C883C54" w14:textId="77777777" w:rsidR="00DD57F0" w:rsidRDefault="00DD57F0" w:rsidP="001A31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E87AC1" wp14:editId="2CBA2691">
                  <wp:extent cx="4316095" cy="3883660"/>
                  <wp:effectExtent l="0" t="0" r="8255" b="254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6095" cy="3883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pct"/>
          </w:tcPr>
          <w:p w14:paraId="717F3768" w14:textId="77777777" w:rsidR="00DD57F0" w:rsidRDefault="00DD57F0" w:rsidP="001A31C3">
            <w:pPr>
              <w:rPr>
                <w:b/>
                <w:bCs/>
              </w:rPr>
            </w:pPr>
          </w:p>
          <w:p w14:paraId="387D8944" w14:textId="77777777" w:rsidR="00DD57F0" w:rsidRDefault="00DD57F0" w:rsidP="001A31C3">
            <w:r w:rsidRPr="004E30FD">
              <w:rPr>
                <w:b/>
                <w:bCs/>
              </w:rPr>
              <w:t xml:space="preserve">Step 1: </w:t>
            </w:r>
            <w:r>
              <w:t>Incubate sample with conjugated beads</w:t>
            </w:r>
          </w:p>
          <w:p w14:paraId="4307D28A" w14:textId="77777777" w:rsidR="00DD57F0" w:rsidRDefault="00DD57F0" w:rsidP="001A31C3">
            <w:r w:rsidRPr="004E30FD">
              <w:rPr>
                <w:b/>
                <w:bCs/>
              </w:rPr>
              <w:t xml:space="preserve">Step 2: </w:t>
            </w:r>
            <w:r>
              <w:t>Incubate with biotinylated antibody</w:t>
            </w:r>
          </w:p>
          <w:p w14:paraId="1E24D3FF" w14:textId="77777777" w:rsidR="00DD57F0" w:rsidRDefault="00DD57F0" w:rsidP="001A31C3">
            <w:r w:rsidRPr="004E30FD">
              <w:rPr>
                <w:b/>
                <w:bCs/>
              </w:rPr>
              <w:t xml:space="preserve">Step </w:t>
            </w:r>
            <w:r>
              <w:rPr>
                <w:b/>
                <w:bCs/>
              </w:rPr>
              <w:t>3</w:t>
            </w:r>
            <w:r w:rsidRPr="004E30FD">
              <w:rPr>
                <w:b/>
                <w:bCs/>
              </w:rPr>
              <w:t xml:space="preserve">: </w:t>
            </w:r>
            <w:r>
              <w:t>Incubate with SAPE</w:t>
            </w:r>
          </w:p>
          <w:p w14:paraId="05E5ABA4" w14:textId="77777777" w:rsidR="00DD57F0" w:rsidRDefault="00DD57F0" w:rsidP="001A31C3">
            <w:r w:rsidRPr="004E30FD">
              <w:rPr>
                <w:b/>
                <w:bCs/>
              </w:rPr>
              <w:t xml:space="preserve">Step </w:t>
            </w:r>
            <w:r>
              <w:rPr>
                <w:b/>
                <w:bCs/>
              </w:rPr>
              <w:t>4</w:t>
            </w:r>
            <w:r w:rsidRPr="004E30FD">
              <w:rPr>
                <w:b/>
                <w:bCs/>
              </w:rPr>
              <w:t xml:space="preserve">: </w:t>
            </w:r>
            <w:r>
              <w:t>Read fluorescence</w:t>
            </w:r>
          </w:p>
          <w:p w14:paraId="56F6696D" w14:textId="77777777" w:rsidR="00DD57F0" w:rsidRDefault="00DD57F0" w:rsidP="001A31C3"/>
          <w:p w14:paraId="463752F0" w14:textId="77777777" w:rsidR="00DD57F0" w:rsidRDefault="00DD57F0" w:rsidP="001A31C3">
            <w:r>
              <w:t xml:space="preserve">The interaction between the plasma sample, beads and antibodies occur in one well. </w:t>
            </w:r>
          </w:p>
        </w:tc>
      </w:tr>
    </w:tbl>
    <w:p w14:paraId="62AC42FF" w14:textId="77777777" w:rsidR="00DD57F0" w:rsidRDefault="00DD57F0" w:rsidP="00DD57F0">
      <w:r w:rsidRPr="005E5682">
        <w:t xml:space="preserve">The reagent kits were designed on magnetic beads using a capture sandwich immunoassay format. Human plasma samples were incubated overnight (16-18 hours) at 2-8°C with the capture antibody–coupled beads. The next day, the beads were washed 2 times and incubated with the detection antibodies for one hour. All washes and reagent transfers were performed using a semi-automated process by ViaFlo96 from Integra Biosciences (Hudson, NH, USA). Second day incubations were also performed at room temperature (20-25°C) at 500-800 rpm. A reporter Streptavidin-Phycoerythrin conjugate (SA-PE) was added and incubated for 30 minutes. The excess detection antibody and SA-PE beads are removed using 2 washes. Sheath fluid is then added to the beads, and the plate is placed on the shaker for 5 minutes. The plates were read using the Flex Map 3D (Luminex Technologies, Austin, TX, CA). The Bio-Plex Manager 6.1 (Bio-Rad Laboratories, Hercules, CA, USA) was used for data acquisition using a 5PL logistic curve to obtain analyte concentrations. </w:t>
      </w:r>
    </w:p>
    <w:p w14:paraId="477476BE" w14:textId="7C66443E" w:rsidR="006D0010" w:rsidRPr="00DD57F0" w:rsidRDefault="006D0010" w:rsidP="00DD57F0">
      <w:bookmarkStart w:id="2" w:name="_GoBack"/>
      <w:bookmarkEnd w:id="2"/>
    </w:p>
    <w:sectPr w:rsidR="006D0010" w:rsidRPr="00DD57F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22278" w14:textId="77777777" w:rsidR="003B17A2" w:rsidRDefault="003B17A2" w:rsidP="00AB1A90">
      <w:pPr>
        <w:spacing w:after="0" w:line="240" w:lineRule="auto"/>
      </w:pPr>
      <w:r>
        <w:separator/>
      </w:r>
    </w:p>
  </w:endnote>
  <w:endnote w:type="continuationSeparator" w:id="0">
    <w:p w14:paraId="156ACA5D" w14:textId="77777777" w:rsidR="003B17A2" w:rsidRDefault="003B17A2" w:rsidP="00AB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BE930" w14:textId="77777777" w:rsidR="003B17A2" w:rsidRDefault="003B17A2" w:rsidP="00AB1A90">
      <w:pPr>
        <w:spacing w:after="0" w:line="240" w:lineRule="auto"/>
      </w:pPr>
      <w:r>
        <w:separator/>
      </w:r>
    </w:p>
  </w:footnote>
  <w:footnote w:type="continuationSeparator" w:id="0">
    <w:p w14:paraId="130E1D6D" w14:textId="77777777" w:rsidR="003B17A2" w:rsidRDefault="003B17A2" w:rsidP="00AB1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7FB4A" w14:textId="788652CB" w:rsidR="00AB1A90" w:rsidRDefault="00AB1A90">
    <w:pPr>
      <w:pStyle w:val="Header"/>
    </w:pPr>
    <w:bookmarkStart w:id="3" w:name="_Hlk30682316"/>
    <w:r>
      <w:rPr>
        <w:szCs w:val="20"/>
      </w:rPr>
      <w:t>Blood Test Shows High Accuracy in Detecting Stage I NSCLC.</w:t>
    </w:r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90"/>
    <w:rsid w:val="003B17A2"/>
    <w:rsid w:val="005F3FDA"/>
    <w:rsid w:val="006D0010"/>
    <w:rsid w:val="007D6DC8"/>
    <w:rsid w:val="00836177"/>
    <w:rsid w:val="00A51996"/>
    <w:rsid w:val="00AB1A90"/>
    <w:rsid w:val="00DD57F0"/>
    <w:rsid w:val="00EC3FF8"/>
    <w:rsid w:val="00FA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99F4"/>
  <w15:chartTrackingRefBased/>
  <w15:docId w15:val="{1EFE613B-8EC2-464A-B95A-A5F1EEF7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A90"/>
    <w:pPr>
      <w:spacing w:after="120" w:line="276" w:lineRule="auto"/>
    </w:pPr>
    <w:rPr>
      <w:rFonts w:ascii="Times New Roman" w:eastAsiaTheme="minorEastAsia" w:hAnsi="Times New Roman"/>
      <w:sz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1A90"/>
    <w:pPr>
      <w:spacing w:before="120"/>
      <w:contextualSpacing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qFormat/>
    <w:rsid w:val="00AB1A90"/>
    <w:rPr>
      <w:rFonts w:eastAsiaTheme="minorEastAsia"/>
      <w:sz w:val="24"/>
      <w:lang w:eastAsia="ja-JP"/>
    </w:rPr>
  </w:style>
  <w:style w:type="table" w:customStyle="1" w:styleId="ListTable22">
    <w:name w:val="List Table 22"/>
    <w:basedOn w:val="TableNormal"/>
    <w:uiPriority w:val="47"/>
    <w:rsid w:val="00AB1A90"/>
    <w:pPr>
      <w:spacing w:after="0" w:line="240" w:lineRule="auto"/>
    </w:pPr>
    <w:rPr>
      <w:rFonts w:eastAsiaTheme="minorEastAsia"/>
      <w:sz w:val="20"/>
      <w:lang w:eastAsia="ja-JP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B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A90"/>
    <w:rPr>
      <w:rFonts w:ascii="Times New Roman" w:eastAsiaTheme="minorEastAsia" w:hAnsi="Times New Roman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B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A90"/>
    <w:rPr>
      <w:rFonts w:ascii="Times New Roman" w:eastAsiaTheme="minorEastAsia" w:hAnsi="Times New Roman"/>
      <w:sz w:val="24"/>
      <w:lang w:eastAsia="ja-JP"/>
    </w:rPr>
  </w:style>
  <w:style w:type="table" w:customStyle="1" w:styleId="APAReport">
    <w:name w:val="APA Report"/>
    <w:basedOn w:val="TableNormal"/>
    <w:uiPriority w:val="99"/>
    <w:rsid w:val="007D6DC8"/>
    <w:pPr>
      <w:spacing w:after="0" w:line="240" w:lineRule="auto"/>
    </w:pPr>
    <w:rPr>
      <w:rFonts w:eastAsiaTheme="minorEastAsia"/>
      <w:sz w:val="20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DD57F0"/>
    <w:pPr>
      <w:spacing w:after="0" w:line="240" w:lineRule="auto"/>
    </w:pPr>
    <w:rPr>
      <w:rFonts w:eastAsiaTheme="minorEastAsia"/>
      <w:sz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Cherylle Goebel</dc:creator>
  <cp:keywords/>
  <dc:description/>
  <cp:lastModifiedBy>Cherylle Goebel</cp:lastModifiedBy>
  <cp:revision>3</cp:revision>
  <dcterms:created xsi:type="dcterms:W3CDTF">2020-02-05T20:54:00Z</dcterms:created>
  <dcterms:modified xsi:type="dcterms:W3CDTF">2020-02-05T20:56:00Z</dcterms:modified>
</cp:coreProperties>
</file>